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1C2" w:rsidRPr="00F76AD6" w:rsidRDefault="006B11C2" w:rsidP="00511419">
      <w:pPr>
        <w:pStyle w:val="BodyTextIndent2"/>
        <w:spacing w:before="120"/>
        <w:ind w:firstLine="0"/>
        <w:jc w:val="center"/>
        <w:rPr>
          <w:rFonts w:asciiTheme="minorHAnsi" w:hAnsiTheme="minorHAnsi"/>
        </w:rPr>
      </w:pPr>
    </w:p>
    <w:p w:rsidR="006B11C2" w:rsidRPr="004E6BD8" w:rsidRDefault="006B11C2" w:rsidP="00511419">
      <w:pPr>
        <w:pStyle w:val="BodyTextIndent2"/>
        <w:spacing w:before="120"/>
        <w:ind w:firstLine="0"/>
        <w:jc w:val="center"/>
        <w:rPr>
          <w:rFonts w:asciiTheme="minorHAnsi" w:hAnsiTheme="minorHAnsi"/>
          <w:smallCaps/>
          <w:sz w:val="44"/>
          <w:szCs w:val="44"/>
        </w:rPr>
      </w:pPr>
    </w:p>
    <w:p w:rsidR="006B11C2" w:rsidRPr="004E6BD8" w:rsidRDefault="00172F6C" w:rsidP="00511419">
      <w:pPr>
        <w:pStyle w:val="BodyTextIndent2"/>
        <w:spacing w:before="120"/>
        <w:ind w:firstLine="0"/>
        <w:jc w:val="center"/>
        <w:rPr>
          <w:rFonts w:asciiTheme="minorHAnsi" w:hAnsiTheme="minorHAnsi"/>
          <w:smallCaps/>
          <w:sz w:val="44"/>
          <w:szCs w:val="44"/>
        </w:rPr>
      </w:pPr>
      <w:r>
        <w:rPr>
          <w:rFonts w:asciiTheme="minorHAnsi" w:hAnsiTheme="minorHAnsi"/>
          <w:lang w:val="lv-LV"/>
        </w:rPr>
        <w:drawing>
          <wp:anchor distT="0" distB="0" distL="114300" distR="114300" simplePos="0" relativeHeight="251655168" behindDoc="1" locked="0" layoutInCell="1" allowOverlap="1" wp14:anchorId="326B915F" wp14:editId="63B4A5AD">
            <wp:simplePos x="0" y="0"/>
            <wp:positionH relativeFrom="column">
              <wp:posOffset>2149288</wp:posOffset>
            </wp:positionH>
            <wp:positionV relativeFrom="paragraph">
              <wp:posOffset>52070</wp:posOffset>
            </wp:positionV>
            <wp:extent cx="1273859" cy="1502229"/>
            <wp:effectExtent l="0" t="0" r="2540" b="3175"/>
            <wp:wrapNone/>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7176" cy="1506140"/>
                    </a:xfrm>
                    <a:prstGeom prst="rect">
                      <a:avLst/>
                    </a:prstGeom>
                    <a:noFill/>
                    <a:ln>
                      <a:noFill/>
                    </a:ln>
                  </pic:spPr>
                </pic:pic>
              </a:graphicData>
            </a:graphic>
          </wp:anchor>
        </w:drawing>
      </w:r>
    </w:p>
    <w:p w:rsidR="006B11C2" w:rsidRPr="004E6BD8" w:rsidRDefault="006B11C2" w:rsidP="00511419">
      <w:pPr>
        <w:pStyle w:val="BodyTextIndent2"/>
        <w:spacing w:before="120"/>
        <w:ind w:firstLine="0"/>
        <w:jc w:val="center"/>
        <w:rPr>
          <w:rFonts w:asciiTheme="minorHAnsi" w:hAnsiTheme="minorHAnsi"/>
          <w:smallCaps/>
          <w:sz w:val="44"/>
          <w:szCs w:val="44"/>
        </w:rPr>
      </w:pPr>
    </w:p>
    <w:p w:rsidR="006B11C2" w:rsidRPr="004E6BD8" w:rsidRDefault="006B11C2" w:rsidP="00511419">
      <w:pPr>
        <w:pStyle w:val="BodyTextIndent2"/>
        <w:spacing w:before="120"/>
        <w:ind w:firstLine="0"/>
        <w:jc w:val="center"/>
        <w:rPr>
          <w:rFonts w:asciiTheme="minorHAnsi" w:hAnsiTheme="minorHAnsi"/>
          <w:smallCaps/>
          <w:sz w:val="40"/>
          <w:szCs w:val="40"/>
          <w:lang w:val="de-DE"/>
        </w:rPr>
      </w:pPr>
    </w:p>
    <w:p w:rsidR="004E6BD8" w:rsidRDefault="004E6BD8" w:rsidP="00511419">
      <w:pPr>
        <w:pStyle w:val="BodyTextIndent2"/>
        <w:spacing w:before="120"/>
        <w:ind w:firstLine="0"/>
        <w:jc w:val="center"/>
        <w:rPr>
          <w:rFonts w:ascii="Calibri" w:hAnsi="Calibri"/>
          <w:smallCaps/>
          <w:color w:val="4F6228" w:themeColor="accent3" w:themeShade="80"/>
          <w:sz w:val="40"/>
          <w:szCs w:val="40"/>
          <w:lang w:val="de-DE"/>
        </w:rPr>
      </w:pPr>
    </w:p>
    <w:p w:rsidR="004E6BD8" w:rsidRDefault="004E6BD8" w:rsidP="00511419">
      <w:pPr>
        <w:pStyle w:val="BodyTextIndent2"/>
        <w:spacing w:before="120"/>
        <w:ind w:firstLine="0"/>
        <w:jc w:val="center"/>
        <w:rPr>
          <w:rFonts w:ascii="Calibri" w:hAnsi="Calibri"/>
          <w:smallCaps/>
          <w:color w:val="4F6228" w:themeColor="accent3" w:themeShade="80"/>
          <w:sz w:val="40"/>
          <w:szCs w:val="40"/>
          <w:lang w:val="de-DE"/>
        </w:rPr>
      </w:pPr>
    </w:p>
    <w:p w:rsidR="00555E71" w:rsidRPr="00555E71" w:rsidRDefault="00555E71" w:rsidP="00555E71">
      <w:pPr>
        <w:widowControl w:val="0"/>
        <w:spacing w:before="120"/>
        <w:jc w:val="center"/>
        <w:rPr>
          <w:rFonts w:asciiTheme="minorHAnsi" w:hAnsiTheme="minorHAnsi"/>
          <w:color w:val="4A442A" w:themeColor="background2" w:themeShade="40"/>
          <w:sz w:val="44"/>
        </w:rPr>
      </w:pPr>
      <w:r w:rsidRPr="00555E71">
        <w:rPr>
          <w:rFonts w:asciiTheme="minorHAnsi" w:hAnsiTheme="minorHAnsi"/>
          <w:color w:val="4A442A" w:themeColor="background2" w:themeShade="40"/>
          <w:sz w:val="44"/>
        </w:rPr>
        <w:t>LR Zemkopības ministrijas</w:t>
      </w:r>
    </w:p>
    <w:p w:rsidR="006B11C2" w:rsidRPr="00555E71" w:rsidRDefault="00555E71" w:rsidP="00555E71">
      <w:pPr>
        <w:widowControl w:val="0"/>
        <w:spacing w:before="120"/>
        <w:jc w:val="center"/>
        <w:rPr>
          <w:rFonts w:asciiTheme="minorHAnsi" w:hAnsiTheme="minorHAnsi"/>
          <w:color w:val="4A442A" w:themeColor="background2" w:themeShade="40"/>
          <w:sz w:val="56"/>
        </w:rPr>
      </w:pPr>
      <w:r w:rsidRPr="00555E71">
        <w:rPr>
          <w:rFonts w:asciiTheme="minorHAnsi" w:hAnsiTheme="minorHAnsi"/>
          <w:color w:val="4A442A" w:themeColor="background2" w:themeShade="40"/>
          <w:sz w:val="56"/>
        </w:rPr>
        <w:t>Valsts augu aizsardzības dienests</w:t>
      </w:r>
    </w:p>
    <w:p w:rsidR="006B11C2" w:rsidRPr="00555E71" w:rsidRDefault="00555E71" w:rsidP="00555E71">
      <w:pPr>
        <w:widowControl w:val="0"/>
        <w:spacing w:before="120"/>
        <w:jc w:val="center"/>
        <w:rPr>
          <w:rFonts w:asciiTheme="minorHAnsi" w:hAnsiTheme="minorHAnsi"/>
          <w:b/>
          <w:color w:val="4A442A" w:themeColor="background2" w:themeShade="40"/>
          <w:sz w:val="96"/>
        </w:rPr>
      </w:pPr>
      <w:r w:rsidRPr="00555E71">
        <w:rPr>
          <w:rFonts w:asciiTheme="minorHAnsi" w:hAnsiTheme="minorHAnsi"/>
          <w:b/>
          <w:color w:val="4A442A" w:themeColor="background2" w:themeShade="40"/>
          <w:sz w:val="96"/>
        </w:rPr>
        <w:t>PUBLISKAIS PĀRSKATS</w:t>
      </w:r>
    </w:p>
    <w:p w:rsidR="006B11C2" w:rsidRPr="00555E71" w:rsidRDefault="006B11C2" w:rsidP="00555E71">
      <w:pPr>
        <w:widowControl w:val="0"/>
        <w:spacing w:before="120"/>
        <w:jc w:val="center"/>
        <w:rPr>
          <w:rFonts w:asciiTheme="minorHAnsi" w:hAnsiTheme="minorHAnsi"/>
          <w:b/>
          <w:color w:val="4A442A" w:themeColor="background2" w:themeShade="40"/>
          <w:sz w:val="96"/>
        </w:rPr>
      </w:pPr>
      <w:r w:rsidRPr="00555E71">
        <w:rPr>
          <w:rFonts w:asciiTheme="minorHAnsi" w:hAnsiTheme="minorHAnsi"/>
          <w:b/>
          <w:color w:val="4A442A" w:themeColor="background2" w:themeShade="40"/>
          <w:sz w:val="96"/>
        </w:rPr>
        <w:t>201</w:t>
      </w:r>
      <w:r w:rsidR="004E6BD8" w:rsidRPr="00555E71">
        <w:rPr>
          <w:rFonts w:asciiTheme="minorHAnsi" w:hAnsiTheme="minorHAnsi"/>
          <w:b/>
          <w:color w:val="4A442A" w:themeColor="background2" w:themeShade="40"/>
          <w:sz w:val="96"/>
        </w:rPr>
        <w:t>2</w:t>
      </w:r>
    </w:p>
    <w:p w:rsidR="006B11C2" w:rsidRPr="00172F6C" w:rsidRDefault="006B11C2" w:rsidP="00511419">
      <w:pPr>
        <w:pStyle w:val="Heading1"/>
        <w:spacing w:before="120" w:after="0"/>
        <w:rPr>
          <w:rFonts w:asciiTheme="minorHAnsi" w:hAnsiTheme="minorHAnsi"/>
          <w:color w:val="4F6228" w:themeColor="accent3" w:themeShade="80"/>
          <w:sz w:val="72"/>
          <w:szCs w:val="72"/>
        </w:rPr>
      </w:pPr>
    </w:p>
    <w:p w:rsidR="006B11C2" w:rsidRPr="004E6BD8" w:rsidRDefault="006B11C2" w:rsidP="00511419">
      <w:pPr>
        <w:pStyle w:val="TOC1"/>
        <w:spacing w:before="120" w:after="0"/>
        <w:rPr>
          <w:rFonts w:asciiTheme="minorHAnsi" w:hAnsiTheme="minorHAnsi"/>
        </w:rPr>
      </w:pPr>
    </w:p>
    <w:p w:rsidR="006B11C2" w:rsidRPr="004E6BD8" w:rsidRDefault="006B11C2" w:rsidP="00511419">
      <w:pPr>
        <w:pStyle w:val="TOC1"/>
        <w:spacing w:before="120" w:after="0"/>
        <w:rPr>
          <w:rFonts w:asciiTheme="minorHAnsi" w:hAnsiTheme="minorHAnsi"/>
        </w:rPr>
      </w:pPr>
    </w:p>
    <w:p w:rsidR="006B11C2" w:rsidRPr="004E6BD8" w:rsidRDefault="006B11C2" w:rsidP="00511419">
      <w:pPr>
        <w:pStyle w:val="TOC1"/>
        <w:spacing w:before="120" w:after="0"/>
        <w:rPr>
          <w:rFonts w:asciiTheme="minorHAnsi" w:hAnsiTheme="minorHAnsi"/>
        </w:rPr>
      </w:pPr>
    </w:p>
    <w:p w:rsidR="006B11C2" w:rsidRPr="004E6BD8" w:rsidRDefault="006B11C2" w:rsidP="00511419">
      <w:pPr>
        <w:spacing w:before="120"/>
        <w:rPr>
          <w:rFonts w:asciiTheme="minorHAnsi" w:hAnsiTheme="minorHAnsi"/>
        </w:rPr>
      </w:pPr>
    </w:p>
    <w:p w:rsidR="006B11C2" w:rsidRPr="004E6BD8" w:rsidRDefault="006B11C2" w:rsidP="00511419">
      <w:pPr>
        <w:pStyle w:val="TOC1"/>
        <w:spacing w:before="120" w:after="0"/>
        <w:rPr>
          <w:rFonts w:asciiTheme="minorHAnsi" w:hAnsiTheme="minorHAnsi"/>
        </w:rPr>
      </w:pPr>
    </w:p>
    <w:p w:rsidR="006B11C2" w:rsidRPr="004E6BD8" w:rsidRDefault="006B11C2" w:rsidP="00511419">
      <w:pPr>
        <w:pStyle w:val="TOC1"/>
        <w:spacing w:before="120" w:after="0"/>
        <w:rPr>
          <w:rFonts w:asciiTheme="minorHAnsi" w:hAnsiTheme="minorHAnsi"/>
        </w:rPr>
      </w:pPr>
    </w:p>
    <w:p w:rsidR="006B11C2" w:rsidRPr="004E6BD8" w:rsidRDefault="006B11C2" w:rsidP="00511419">
      <w:pPr>
        <w:pStyle w:val="TOC1"/>
        <w:spacing w:before="120" w:after="0"/>
        <w:rPr>
          <w:rFonts w:asciiTheme="minorHAnsi" w:hAnsiTheme="minorHAnsi"/>
        </w:rPr>
      </w:pPr>
    </w:p>
    <w:p w:rsidR="00591964" w:rsidRDefault="006B11C2" w:rsidP="007C01B2">
      <w:pPr>
        <w:pStyle w:val="TOCHeading"/>
        <w:jc w:val="center"/>
        <w:rPr>
          <w:rFonts w:asciiTheme="minorHAnsi" w:hAnsiTheme="minorHAnsi"/>
        </w:rPr>
      </w:pPr>
      <w:r w:rsidRPr="00555E71">
        <w:rPr>
          <w:rFonts w:asciiTheme="minorHAnsi" w:hAnsiTheme="minorHAnsi"/>
          <w:b w:val="0"/>
          <w:bCs w:val="0"/>
          <w:caps/>
          <w:color w:val="4A442A" w:themeColor="background2" w:themeShade="40"/>
          <w:sz w:val="44"/>
          <w:szCs w:val="24"/>
        </w:rPr>
        <w:t>Rīga 201</w:t>
      </w:r>
      <w:r w:rsidR="004E6BD8" w:rsidRPr="00555E71">
        <w:rPr>
          <w:rFonts w:asciiTheme="minorHAnsi" w:hAnsiTheme="minorHAnsi"/>
          <w:b w:val="0"/>
          <w:bCs w:val="0"/>
          <w:caps/>
          <w:color w:val="4A442A" w:themeColor="background2" w:themeShade="40"/>
          <w:sz w:val="44"/>
          <w:szCs w:val="24"/>
        </w:rPr>
        <w:t>3</w:t>
      </w:r>
      <w:r w:rsidRPr="004E6BD8">
        <w:rPr>
          <w:rFonts w:asciiTheme="minorHAnsi" w:hAnsiTheme="minorHAnsi"/>
        </w:rPr>
        <w:br w:type="page"/>
      </w:r>
    </w:p>
    <w:p w:rsidR="006B11C2" w:rsidRDefault="006B11C2" w:rsidP="00591964">
      <w:pPr>
        <w:pStyle w:val="TOC1"/>
        <w:spacing w:before="120" w:after="0"/>
        <w:jc w:val="center"/>
        <w:rPr>
          <w:rFonts w:asciiTheme="minorHAnsi" w:hAnsiTheme="minorHAnsi" w:cs="Times New Roman"/>
          <w:b w:val="0"/>
          <w:bCs w:val="0"/>
          <w:caps w:val="0"/>
          <w:color w:val="4A442A" w:themeColor="background2" w:themeShade="40"/>
          <w:sz w:val="44"/>
          <w:szCs w:val="24"/>
          <w:u w:val="none"/>
        </w:rPr>
      </w:pPr>
      <w:r w:rsidRPr="001234C1">
        <w:rPr>
          <w:rFonts w:asciiTheme="minorHAnsi" w:hAnsiTheme="minorHAnsi" w:cs="Times New Roman"/>
          <w:b w:val="0"/>
          <w:bCs w:val="0"/>
          <w:caps w:val="0"/>
          <w:color w:val="4A442A" w:themeColor="background2" w:themeShade="40"/>
          <w:sz w:val="44"/>
          <w:szCs w:val="24"/>
          <w:u w:val="none"/>
        </w:rPr>
        <w:lastRenderedPageBreak/>
        <w:t>Satura rādītājs</w:t>
      </w:r>
    </w:p>
    <w:sdt>
      <w:sdtPr>
        <w:rPr>
          <w:rFonts w:ascii="Times New Roman" w:hAnsi="Times New Roman"/>
          <w:b w:val="0"/>
          <w:bCs w:val="0"/>
          <w:color w:val="auto"/>
          <w:sz w:val="24"/>
          <w:szCs w:val="24"/>
          <w:lang w:val="lv-LV" w:eastAsia="lv-LV"/>
        </w:rPr>
        <w:id w:val="1292634166"/>
        <w:docPartObj>
          <w:docPartGallery w:val="Table of Contents"/>
          <w:docPartUnique/>
        </w:docPartObj>
      </w:sdtPr>
      <w:sdtEndPr>
        <w:rPr>
          <w:noProof/>
        </w:rPr>
      </w:sdtEndPr>
      <w:sdtContent>
        <w:p w:rsidR="00E06955" w:rsidRDefault="00E06955">
          <w:pPr>
            <w:pStyle w:val="TOCHeading"/>
          </w:pPr>
        </w:p>
        <w:p w:rsidR="00E06955" w:rsidRDefault="00E06955">
          <w:pPr>
            <w:pStyle w:val="TOC2"/>
            <w:tabs>
              <w:tab w:val="right" w:leader="dot" w:pos="9108"/>
            </w:tabs>
            <w:rPr>
              <w:rFonts w:asciiTheme="minorHAnsi" w:eastAsiaTheme="minorEastAsia" w:hAnsiTheme="minorHAnsi" w:cstheme="minorBidi"/>
              <w:b w:val="0"/>
              <w:bCs w:val="0"/>
              <w:smallCaps w:val="0"/>
              <w:noProof/>
            </w:rPr>
          </w:pPr>
          <w:r>
            <w:fldChar w:fldCharType="begin"/>
          </w:r>
          <w:r>
            <w:instrText xml:space="preserve"> TOC \o "1-3" \h \z \u </w:instrText>
          </w:r>
          <w:r>
            <w:fldChar w:fldCharType="separate"/>
          </w:r>
          <w:hyperlink w:anchor="_Toc364414859" w:history="1">
            <w:r w:rsidRPr="008021AA">
              <w:rPr>
                <w:rStyle w:val="Hyperlink"/>
                <w:noProof/>
              </w:rPr>
              <w:t>1. Valsts augu aizsardzības dienesta darbības vispārīgs raksturojums</w:t>
            </w:r>
            <w:r>
              <w:rPr>
                <w:noProof/>
                <w:webHidden/>
              </w:rPr>
              <w:tab/>
            </w:r>
            <w:r>
              <w:rPr>
                <w:noProof/>
                <w:webHidden/>
              </w:rPr>
              <w:fldChar w:fldCharType="begin"/>
            </w:r>
            <w:r>
              <w:rPr>
                <w:noProof/>
                <w:webHidden/>
              </w:rPr>
              <w:instrText xml:space="preserve"> PAGEREF _Toc364414859 \h </w:instrText>
            </w:r>
            <w:r>
              <w:rPr>
                <w:noProof/>
                <w:webHidden/>
              </w:rPr>
            </w:r>
            <w:r>
              <w:rPr>
                <w:noProof/>
                <w:webHidden/>
              </w:rPr>
              <w:fldChar w:fldCharType="separate"/>
            </w:r>
            <w:r>
              <w:rPr>
                <w:noProof/>
                <w:webHidden/>
              </w:rPr>
              <w:t>3</w:t>
            </w:r>
            <w:r>
              <w:rPr>
                <w:noProof/>
                <w:webHidden/>
              </w:rPr>
              <w:fldChar w:fldCharType="end"/>
            </w:r>
          </w:hyperlink>
        </w:p>
        <w:p w:rsidR="00E06955" w:rsidRDefault="00FC084B">
          <w:pPr>
            <w:pStyle w:val="TOC2"/>
            <w:tabs>
              <w:tab w:val="right" w:leader="dot" w:pos="9108"/>
            </w:tabs>
            <w:rPr>
              <w:rFonts w:asciiTheme="minorHAnsi" w:eastAsiaTheme="minorEastAsia" w:hAnsiTheme="minorHAnsi" w:cstheme="minorBidi"/>
              <w:b w:val="0"/>
              <w:bCs w:val="0"/>
              <w:smallCaps w:val="0"/>
              <w:noProof/>
            </w:rPr>
          </w:pPr>
          <w:hyperlink w:anchor="_Toc364414860" w:history="1">
            <w:r w:rsidR="00E06955" w:rsidRPr="008021AA">
              <w:rPr>
                <w:rStyle w:val="Hyperlink"/>
                <w:noProof/>
              </w:rPr>
              <w:t>2. Personāls</w:t>
            </w:r>
            <w:r w:rsidR="00E06955">
              <w:rPr>
                <w:noProof/>
                <w:webHidden/>
              </w:rPr>
              <w:tab/>
            </w:r>
            <w:r w:rsidR="00E06955">
              <w:rPr>
                <w:noProof/>
                <w:webHidden/>
              </w:rPr>
              <w:fldChar w:fldCharType="begin"/>
            </w:r>
            <w:r w:rsidR="00E06955">
              <w:rPr>
                <w:noProof/>
                <w:webHidden/>
              </w:rPr>
              <w:instrText xml:space="preserve"> PAGEREF _Toc364414860 \h </w:instrText>
            </w:r>
            <w:r w:rsidR="00E06955">
              <w:rPr>
                <w:noProof/>
                <w:webHidden/>
              </w:rPr>
            </w:r>
            <w:r w:rsidR="00E06955">
              <w:rPr>
                <w:noProof/>
                <w:webHidden/>
              </w:rPr>
              <w:fldChar w:fldCharType="separate"/>
            </w:r>
            <w:r w:rsidR="00E06955">
              <w:rPr>
                <w:noProof/>
                <w:webHidden/>
              </w:rPr>
              <w:t>5</w:t>
            </w:r>
            <w:r w:rsidR="00E06955">
              <w:rPr>
                <w:noProof/>
                <w:webHidden/>
              </w:rPr>
              <w:fldChar w:fldCharType="end"/>
            </w:r>
          </w:hyperlink>
        </w:p>
        <w:p w:rsidR="00E06955" w:rsidRDefault="00FC084B">
          <w:pPr>
            <w:pStyle w:val="TOC2"/>
            <w:tabs>
              <w:tab w:val="right" w:leader="dot" w:pos="9108"/>
            </w:tabs>
            <w:rPr>
              <w:rFonts w:asciiTheme="minorHAnsi" w:eastAsiaTheme="minorEastAsia" w:hAnsiTheme="minorHAnsi" w:cstheme="minorBidi"/>
              <w:b w:val="0"/>
              <w:bCs w:val="0"/>
              <w:smallCaps w:val="0"/>
              <w:noProof/>
            </w:rPr>
          </w:pPr>
          <w:hyperlink w:anchor="_Toc364414861" w:history="1">
            <w:r w:rsidR="00615043">
              <w:rPr>
                <w:rStyle w:val="Hyperlink"/>
                <w:noProof/>
              </w:rPr>
              <w:t>3. Finanšu resursi</w:t>
            </w:r>
            <w:r w:rsidR="00E06955">
              <w:rPr>
                <w:noProof/>
                <w:webHidden/>
              </w:rPr>
              <w:tab/>
            </w:r>
            <w:r w:rsidR="00E06955">
              <w:rPr>
                <w:noProof/>
                <w:webHidden/>
              </w:rPr>
              <w:fldChar w:fldCharType="begin"/>
            </w:r>
            <w:r w:rsidR="00E06955">
              <w:rPr>
                <w:noProof/>
                <w:webHidden/>
              </w:rPr>
              <w:instrText xml:space="preserve"> PAGEREF _Toc364414861 \h </w:instrText>
            </w:r>
            <w:r w:rsidR="00E06955">
              <w:rPr>
                <w:noProof/>
                <w:webHidden/>
              </w:rPr>
            </w:r>
            <w:r w:rsidR="00E06955">
              <w:rPr>
                <w:noProof/>
                <w:webHidden/>
              </w:rPr>
              <w:fldChar w:fldCharType="separate"/>
            </w:r>
            <w:r w:rsidR="00E06955">
              <w:rPr>
                <w:noProof/>
                <w:webHidden/>
              </w:rPr>
              <w:t>9</w:t>
            </w:r>
            <w:r w:rsidR="00E06955">
              <w:rPr>
                <w:noProof/>
                <w:webHidden/>
              </w:rPr>
              <w:fldChar w:fldCharType="end"/>
            </w:r>
          </w:hyperlink>
        </w:p>
        <w:p w:rsidR="00E06955" w:rsidRDefault="00FC084B">
          <w:pPr>
            <w:pStyle w:val="TOC2"/>
            <w:tabs>
              <w:tab w:val="left" w:pos="390"/>
              <w:tab w:val="right" w:leader="dot" w:pos="9108"/>
            </w:tabs>
            <w:rPr>
              <w:rFonts w:asciiTheme="minorHAnsi" w:eastAsiaTheme="minorEastAsia" w:hAnsiTheme="minorHAnsi" w:cstheme="minorBidi"/>
              <w:b w:val="0"/>
              <w:bCs w:val="0"/>
              <w:smallCaps w:val="0"/>
              <w:noProof/>
            </w:rPr>
          </w:pPr>
          <w:hyperlink w:anchor="_Toc364414862" w:history="1">
            <w:r w:rsidR="00E06955" w:rsidRPr="008021AA">
              <w:rPr>
                <w:rStyle w:val="Hyperlink"/>
                <w:noProof/>
              </w:rPr>
              <w:t>4.</w:t>
            </w:r>
            <w:r w:rsidR="00E06955">
              <w:rPr>
                <w:rFonts w:asciiTheme="minorHAnsi" w:eastAsiaTheme="minorEastAsia" w:hAnsiTheme="minorHAnsi" w:cstheme="minorBidi"/>
                <w:b w:val="0"/>
                <w:bCs w:val="0"/>
                <w:smallCaps w:val="0"/>
                <w:noProof/>
              </w:rPr>
              <w:tab/>
            </w:r>
            <w:r w:rsidR="00E06955" w:rsidRPr="008021AA">
              <w:rPr>
                <w:rStyle w:val="Hyperlink"/>
                <w:noProof/>
              </w:rPr>
              <w:t>2012.gada DARBĪBAS REZULTĀTI</w:t>
            </w:r>
            <w:r w:rsidR="00E06955">
              <w:rPr>
                <w:noProof/>
                <w:webHidden/>
              </w:rPr>
              <w:tab/>
            </w:r>
            <w:r w:rsidR="00E06955">
              <w:rPr>
                <w:noProof/>
                <w:webHidden/>
              </w:rPr>
              <w:fldChar w:fldCharType="begin"/>
            </w:r>
            <w:r w:rsidR="00E06955">
              <w:rPr>
                <w:noProof/>
                <w:webHidden/>
              </w:rPr>
              <w:instrText xml:space="preserve"> PAGEREF _Toc364414862 \h </w:instrText>
            </w:r>
            <w:r w:rsidR="00E06955">
              <w:rPr>
                <w:noProof/>
                <w:webHidden/>
              </w:rPr>
            </w:r>
            <w:r w:rsidR="00E06955">
              <w:rPr>
                <w:noProof/>
                <w:webHidden/>
              </w:rPr>
              <w:fldChar w:fldCharType="separate"/>
            </w:r>
            <w:r w:rsidR="00E06955">
              <w:rPr>
                <w:noProof/>
                <w:webHidden/>
              </w:rPr>
              <w:t>16</w:t>
            </w:r>
            <w:r w:rsidR="00E06955">
              <w:rPr>
                <w:noProof/>
                <w:webHidden/>
              </w:rPr>
              <w:fldChar w:fldCharType="end"/>
            </w:r>
          </w:hyperlink>
        </w:p>
        <w:p w:rsidR="00E06955" w:rsidRDefault="00FC084B">
          <w:pPr>
            <w:pStyle w:val="TOC3"/>
            <w:rPr>
              <w:rFonts w:asciiTheme="minorHAnsi" w:eastAsiaTheme="minorEastAsia" w:hAnsiTheme="minorHAnsi" w:cstheme="minorBidi"/>
              <w:smallCaps w:val="0"/>
              <w:noProof/>
            </w:rPr>
          </w:pPr>
          <w:hyperlink w:anchor="_Toc364414863" w:history="1">
            <w:r w:rsidR="00E06955" w:rsidRPr="008021AA">
              <w:rPr>
                <w:rStyle w:val="Hyperlink"/>
                <w:noProof/>
              </w:rPr>
              <w:t>4.1. Augu aizsardzības joma</w:t>
            </w:r>
            <w:r w:rsidR="00E06955">
              <w:rPr>
                <w:noProof/>
                <w:webHidden/>
              </w:rPr>
              <w:tab/>
            </w:r>
            <w:r w:rsidR="00E06955">
              <w:rPr>
                <w:noProof/>
                <w:webHidden/>
              </w:rPr>
              <w:fldChar w:fldCharType="begin"/>
            </w:r>
            <w:r w:rsidR="00E06955">
              <w:rPr>
                <w:noProof/>
                <w:webHidden/>
              </w:rPr>
              <w:instrText xml:space="preserve"> PAGEREF _Toc364414863 \h </w:instrText>
            </w:r>
            <w:r w:rsidR="00E06955">
              <w:rPr>
                <w:noProof/>
                <w:webHidden/>
              </w:rPr>
            </w:r>
            <w:r w:rsidR="00E06955">
              <w:rPr>
                <w:noProof/>
                <w:webHidden/>
              </w:rPr>
              <w:fldChar w:fldCharType="separate"/>
            </w:r>
            <w:r w:rsidR="00E06955">
              <w:rPr>
                <w:noProof/>
                <w:webHidden/>
              </w:rPr>
              <w:t>16</w:t>
            </w:r>
            <w:r w:rsidR="00E06955">
              <w:rPr>
                <w:noProof/>
                <w:webHidden/>
              </w:rPr>
              <w:fldChar w:fldCharType="end"/>
            </w:r>
          </w:hyperlink>
        </w:p>
        <w:p w:rsidR="00E06955" w:rsidRDefault="00FC084B">
          <w:pPr>
            <w:pStyle w:val="TOC3"/>
            <w:rPr>
              <w:rFonts w:asciiTheme="minorHAnsi" w:eastAsiaTheme="minorEastAsia" w:hAnsiTheme="minorHAnsi" w:cstheme="minorBidi"/>
              <w:smallCaps w:val="0"/>
              <w:noProof/>
            </w:rPr>
          </w:pPr>
          <w:hyperlink w:anchor="_Toc364414864" w:history="1">
            <w:r w:rsidR="00E06955" w:rsidRPr="008021AA">
              <w:rPr>
                <w:rStyle w:val="Hyperlink"/>
                <w:noProof/>
              </w:rPr>
              <w:t>4.1.2. Kultūraugiem kaitīgo nekarantīnas organismu monitorings un prognozēšana</w:t>
            </w:r>
            <w:r w:rsidR="00E06955">
              <w:rPr>
                <w:noProof/>
                <w:webHidden/>
              </w:rPr>
              <w:tab/>
            </w:r>
            <w:r w:rsidR="00E06955">
              <w:rPr>
                <w:noProof/>
                <w:webHidden/>
              </w:rPr>
              <w:fldChar w:fldCharType="begin"/>
            </w:r>
            <w:r w:rsidR="00E06955">
              <w:rPr>
                <w:noProof/>
                <w:webHidden/>
              </w:rPr>
              <w:instrText xml:space="preserve"> PAGEREF _Toc364414864 \h </w:instrText>
            </w:r>
            <w:r w:rsidR="00E06955">
              <w:rPr>
                <w:noProof/>
                <w:webHidden/>
              </w:rPr>
            </w:r>
            <w:r w:rsidR="00E06955">
              <w:rPr>
                <w:noProof/>
                <w:webHidden/>
              </w:rPr>
              <w:fldChar w:fldCharType="separate"/>
            </w:r>
            <w:r w:rsidR="00E06955">
              <w:rPr>
                <w:noProof/>
                <w:webHidden/>
              </w:rPr>
              <w:t>24</w:t>
            </w:r>
            <w:r w:rsidR="00E06955">
              <w:rPr>
                <w:noProof/>
                <w:webHidden/>
              </w:rPr>
              <w:fldChar w:fldCharType="end"/>
            </w:r>
          </w:hyperlink>
        </w:p>
        <w:p w:rsidR="00E06955" w:rsidRDefault="00FC084B">
          <w:pPr>
            <w:pStyle w:val="TOC3"/>
            <w:rPr>
              <w:rFonts w:asciiTheme="minorHAnsi" w:eastAsiaTheme="minorEastAsia" w:hAnsiTheme="minorHAnsi" w:cstheme="minorBidi"/>
              <w:smallCaps w:val="0"/>
              <w:noProof/>
            </w:rPr>
          </w:pPr>
          <w:hyperlink w:anchor="_Toc364414865" w:history="1">
            <w:r w:rsidR="00E06955" w:rsidRPr="008021AA">
              <w:rPr>
                <w:rStyle w:val="Hyperlink"/>
                <w:noProof/>
              </w:rPr>
              <w:t>4.2. Augu karantīnas joma</w:t>
            </w:r>
            <w:r w:rsidR="00E06955">
              <w:rPr>
                <w:noProof/>
                <w:webHidden/>
              </w:rPr>
              <w:tab/>
            </w:r>
            <w:r w:rsidR="00E06955">
              <w:rPr>
                <w:noProof/>
                <w:webHidden/>
              </w:rPr>
              <w:fldChar w:fldCharType="begin"/>
            </w:r>
            <w:r w:rsidR="00E06955">
              <w:rPr>
                <w:noProof/>
                <w:webHidden/>
              </w:rPr>
              <w:instrText xml:space="preserve"> PAGEREF _Toc364414865 \h </w:instrText>
            </w:r>
            <w:r w:rsidR="00E06955">
              <w:rPr>
                <w:noProof/>
                <w:webHidden/>
              </w:rPr>
            </w:r>
            <w:r w:rsidR="00E06955">
              <w:rPr>
                <w:noProof/>
                <w:webHidden/>
              </w:rPr>
              <w:fldChar w:fldCharType="separate"/>
            </w:r>
            <w:r w:rsidR="00E06955">
              <w:rPr>
                <w:noProof/>
                <w:webHidden/>
              </w:rPr>
              <w:t>34</w:t>
            </w:r>
            <w:r w:rsidR="00E06955">
              <w:rPr>
                <w:noProof/>
                <w:webHidden/>
              </w:rPr>
              <w:fldChar w:fldCharType="end"/>
            </w:r>
          </w:hyperlink>
        </w:p>
        <w:p w:rsidR="00E06955" w:rsidRDefault="00FC084B">
          <w:pPr>
            <w:pStyle w:val="TOC3"/>
            <w:rPr>
              <w:rFonts w:asciiTheme="minorHAnsi" w:eastAsiaTheme="minorEastAsia" w:hAnsiTheme="minorHAnsi" w:cstheme="minorBidi"/>
              <w:smallCaps w:val="0"/>
              <w:noProof/>
            </w:rPr>
          </w:pPr>
          <w:hyperlink w:anchor="_Toc364414866" w:history="1">
            <w:r w:rsidR="00E06955" w:rsidRPr="008021AA">
              <w:rPr>
                <w:rStyle w:val="Hyperlink"/>
                <w:noProof/>
              </w:rPr>
              <w:t>4.3. Sēklu sertifikācija, sēklu aprites uzraudzība, selekcionāru tiesības un Latvijas augu šķirņu kataloga veidošana</w:t>
            </w:r>
            <w:r w:rsidR="00E06955">
              <w:rPr>
                <w:noProof/>
                <w:webHidden/>
              </w:rPr>
              <w:tab/>
            </w:r>
            <w:r w:rsidR="00E06955">
              <w:rPr>
                <w:noProof/>
                <w:webHidden/>
              </w:rPr>
              <w:fldChar w:fldCharType="begin"/>
            </w:r>
            <w:r w:rsidR="00E06955">
              <w:rPr>
                <w:noProof/>
                <w:webHidden/>
              </w:rPr>
              <w:instrText xml:space="preserve"> PAGEREF _Toc364414866 \h </w:instrText>
            </w:r>
            <w:r w:rsidR="00E06955">
              <w:rPr>
                <w:noProof/>
                <w:webHidden/>
              </w:rPr>
            </w:r>
            <w:r w:rsidR="00E06955">
              <w:rPr>
                <w:noProof/>
                <w:webHidden/>
              </w:rPr>
              <w:fldChar w:fldCharType="separate"/>
            </w:r>
            <w:r w:rsidR="00E06955">
              <w:rPr>
                <w:noProof/>
                <w:webHidden/>
              </w:rPr>
              <w:t>78</w:t>
            </w:r>
            <w:r w:rsidR="00E06955">
              <w:rPr>
                <w:noProof/>
                <w:webHidden/>
              </w:rPr>
              <w:fldChar w:fldCharType="end"/>
            </w:r>
          </w:hyperlink>
        </w:p>
        <w:p w:rsidR="00E06955" w:rsidRDefault="00FC084B">
          <w:pPr>
            <w:pStyle w:val="TOC3"/>
            <w:rPr>
              <w:rFonts w:asciiTheme="minorHAnsi" w:eastAsiaTheme="minorEastAsia" w:hAnsiTheme="minorHAnsi" w:cstheme="minorBidi"/>
              <w:smallCaps w:val="0"/>
              <w:noProof/>
            </w:rPr>
          </w:pPr>
          <w:hyperlink w:anchor="_Toc364414867" w:history="1">
            <w:r w:rsidR="00E06955" w:rsidRPr="008021AA">
              <w:rPr>
                <w:rStyle w:val="Hyperlink"/>
                <w:noProof/>
              </w:rPr>
              <w:t>4.4. Agroķīmijas joma</w:t>
            </w:r>
            <w:r w:rsidR="00E06955">
              <w:rPr>
                <w:noProof/>
                <w:webHidden/>
              </w:rPr>
              <w:tab/>
            </w:r>
            <w:r w:rsidR="00E06955">
              <w:rPr>
                <w:noProof/>
                <w:webHidden/>
              </w:rPr>
              <w:fldChar w:fldCharType="begin"/>
            </w:r>
            <w:r w:rsidR="00E06955">
              <w:rPr>
                <w:noProof/>
                <w:webHidden/>
              </w:rPr>
              <w:instrText xml:space="preserve"> PAGEREF _Toc364414867 \h </w:instrText>
            </w:r>
            <w:r w:rsidR="00E06955">
              <w:rPr>
                <w:noProof/>
                <w:webHidden/>
              </w:rPr>
            </w:r>
            <w:r w:rsidR="00E06955">
              <w:rPr>
                <w:noProof/>
                <w:webHidden/>
              </w:rPr>
              <w:fldChar w:fldCharType="separate"/>
            </w:r>
            <w:r w:rsidR="00E06955">
              <w:rPr>
                <w:noProof/>
                <w:webHidden/>
              </w:rPr>
              <w:t>94</w:t>
            </w:r>
            <w:r w:rsidR="00E06955">
              <w:rPr>
                <w:noProof/>
                <w:webHidden/>
              </w:rPr>
              <w:fldChar w:fldCharType="end"/>
            </w:r>
          </w:hyperlink>
        </w:p>
        <w:p w:rsidR="00E06955" w:rsidRDefault="00FC084B">
          <w:pPr>
            <w:pStyle w:val="TOC2"/>
            <w:tabs>
              <w:tab w:val="right" w:leader="dot" w:pos="9108"/>
            </w:tabs>
            <w:rPr>
              <w:rFonts w:asciiTheme="minorHAnsi" w:eastAsiaTheme="minorEastAsia" w:hAnsiTheme="minorHAnsi" w:cstheme="minorBidi"/>
              <w:b w:val="0"/>
              <w:bCs w:val="0"/>
              <w:smallCaps w:val="0"/>
              <w:noProof/>
            </w:rPr>
          </w:pPr>
          <w:hyperlink w:anchor="_Toc364414868" w:history="1">
            <w:r w:rsidR="00E06955" w:rsidRPr="008021AA">
              <w:rPr>
                <w:rStyle w:val="Hyperlink"/>
                <w:noProof/>
              </w:rPr>
              <w:t>5. Sabiedrības informēšana</w:t>
            </w:r>
            <w:r w:rsidR="00E06955">
              <w:rPr>
                <w:noProof/>
                <w:webHidden/>
              </w:rPr>
              <w:tab/>
            </w:r>
            <w:r w:rsidR="00E06955">
              <w:rPr>
                <w:noProof/>
                <w:webHidden/>
              </w:rPr>
              <w:fldChar w:fldCharType="begin"/>
            </w:r>
            <w:r w:rsidR="00E06955">
              <w:rPr>
                <w:noProof/>
                <w:webHidden/>
              </w:rPr>
              <w:instrText xml:space="preserve"> PAGEREF _Toc364414868 \h </w:instrText>
            </w:r>
            <w:r w:rsidR="00E06955">
              <w:rPr>
                <w:noProof/>
                <w:webHidden/>
              </w:rPr>
            </w:r>
            <w:r w:rsidR="00E06955">
              <w:rPr>
                <w:noProof/>
                <w:webHidden/>
              </w:rPr>
              <w:fldChar w:fldCharType="separate"/>
            </w:r>
            <w:r w:rsidR="00E06955">
              <w:rPr>
                <w:noProof/>
                <w:webHidden/>
              </w:rPr>
              <w:t>107</w:t>
            </w:r>
            <w:r w:rsidR="00E06955">
              <w:rPr>
                <w:noProof/>
                <w:webHidden/>
              </w:rPr>
              <w:fldChar w:fldCharType="end"/>
            </w:r>
          </w:hyperlink>
        </w:p>
        <w:p w:rsidR="00E06955" w:rsidRDefault="00FC084B">
          <w:pPr>
            <w:pStyle w:val="TOC2"/>
            <w:tabs>
              <w:tab w:val="right" w:leader="dot" w:pos="9108"/>
            </w:tabs>
            <w:rPr>
              <w:rFonts w:asciiTheme="minorHAnsi" w:eastAsiaTheme="minorEastAsia" w:hAnsiTheme="minorHAnsi" w:cstheme="minorBidi"/>
              <w:b w:val="0"/>
              <w:bCs w:val="0"/>
              <w:smallCaps w:val="0"/>
              <w:noProof/>
            </w:rPr>
          </w:pPr>
          <w:hyperlink w:anchor="_Toc364414869" w:history="1">
            <w:r w:rsidR="00E06955" w:rsidRPr="008021AA">
              <w:rPr>
                <w:rStyle w:val="Hyperlink"/>
                <w:noProof/>
              </w:rPr>
              <w:t>6. Sadarbība ar nevalstiskajām organizācijām</w:t>
            </w:r>
            <w:r w:rsidR="00E06955">
              <w:rPr>
                <w:noProof/>
                <w:webHidden/>
              </w:rPr>
              <w:tab/>
            </w:r>
            <w:r w:rsidR="00E06955">
              <w:rPr>
                <w:noProof/>
                <w:webHidden/>
              </w:rPr>
              <w:fldChar w:fldCharType="begin"/>
            </w:r>
            <w:r w:rsidR="00E06955">
              <w:rPr>
                <w:noProof/>
                <w:webHidden/>
              </w:rPr>
              <w:instrText xml:space="preserve"> PAGEREF _Toc364414869 \h </w:instrText>
            </w:r>
            <w:r w:rsidR="00E06955">
              <w:rPr>
                <w:noProof/>
                <w:webHidden/>
              </w:rPr>
            </w:r>
            <w:r w:rsidR="00E06955">
              <w:rPr>
                <w:noProof/>
                <w:webHidden/>
              </w:rPr>
              <w:fldChar w:fldCharType="separate"/>
            </w:r>
            <w:r w:rsidR="00E06955">
              <w:rPr>
                <w:noProof/>
                <w:webHidden/>
              </w:rPr>
              <w:t>110</w:t>
            </w:r>
            <w:r w:rsidR="00E06955">
              <w:rPr>
                <w:noProof/>
                <w:webHidden/>
              </w:rPr>
              <w:fldChar w:fldCharType="end"/>
            </w:r>
          </w:hyperlink>
        </w:p>
        <w:p w:rsidR="00E06955" w:rsidRDefault="00FC084B">
          <w:pPr>
            <w:pStyle w:val="TOC2"/>
            <w:tabs>
              <w:tab w:val="right" w:leader="dot" w:pos="9108"/>
            </w:tabs>
            <w:rPr>
              <w:rFonts w:asciiTheme="minorHAnsi" w:eastAsiaTheme="minorEastAsia" w:hAnsiTheme="minorHAnsi" w:cstheme="minorBidi"/>
              <w:b w:val="0"/>
              <w:bCs w:val="0"/>
              <w:smallCaps w:val="0"/>
              <w:noProof/>
            </w:rPr>
          </w:pPr>
          <w:hyperlink w:anchor="_Toc364414870" w:history="1">
            <w:r w:rsidR="00E06955" w:rsidRPr="008021AA">
              <w:rPr>
                <w:rStyle w:val="Hyperlink"/>
                <w:noProof/>
              </w:rPr>
              <w:t>7. 2013.gada prioritātes</w:t>
            </w:r>
            <w:r w:rsidR="00E06955">
              <w:rPr>
                <w:noProof/>
                <w:webHidden/>
              </w:rPr>
              <w:tab/>
            </w:r>
            <w:r w:rsidR="00E06955">
              <w:rPr>
                <w:noProof/>
                <w:webHidden/>
              </w:rPr>
              <w:fldChar w:fldCharType="begin"/>
            </w:r>
            <w:r w:rsidR="00E06955">
              <w:rPr>
                <w:noProof/>
                <w:webHidden/>
              </w:rPr>
              <w:instrText xml:space="preserve"> PAGEREF _Toc364414870 \h </w:instrText>
            </w:r>
            <w:r w:rsidR="00E06955">
              <w:rPr>
                <w:noProof/>
                <w:webHidden/>
              </w:rPr>
            </w:r>
            <w:r w:rsidR="00E06955">
              <w:rPr>
                <w:noProof/>
                <w:webHidden/>
              </w:rPr>
              <w:fldChar w:fldCharType="separate"/>
            </w:r>
            <w:r w:rsidR="00E06955">
              <w:rPr>
                <w:noProof/>
                <w:webHidden/>
              </w:rPr>
              <w:t>111</w:t>
            </w:r>
            <w:r w:rsidR="00E06955">
              <w:rPr>
                <w:noProof/>
                <w:webHidden/>
              </w:rPr>
              <w:fldChar w:fldCharType="end"/>
            </w:r>
          </w:hyperlink>
        </w:p>
        <w:p w:rsidR="00E06955" w:rsidRDefault="00E06955">
          <w:r>
            <w:rPr>
              <w:b/>
              <w:bCs/>
              <w:noProof/>
            </w:rPr>
            <w:fldChar w:fldCharType="end"/>
          </w:r>
        </w:p>
      </w:sdtContent>
    </w:sdt>
    <w:p w:rsidR="00E06955" w:rsidRPr="00E06955" w:rsidRDefault="00E06955" w:rsidP="00E06955"/>
    <w:p w:rsidR="007C01B2" w:rsidRPr="007C01B2" w:rsidRDefault="007C01B2" w:rsidP="007C01B2"/>
    <w:p w:rsidR="00075D8D" w:rsidRDefault="00075D8D">
      <w:pPr>
        <w:rPr>
          <w:rFonts w:asciiTheme="minorHAnsi" w:hAnsiTheme="minorHAnsi"/>
          <w:color w:val="4A442A" w:themeColor="background2" w:themeShade="40"/>
          <w:sz w:val="44"/>
        </w:rPr>
      </w:pPr>
      <w:r>
        <w:br w:type="page"/>
      </w:r>
    </w:p>
    <w:p w:rsidR="006B22CC" w:rsidRPr="00DA62F2" w:rsidRDefault="006B22CC" w:rsidP="00EC3280">
      <w:pPr>
        <w:pStyle w:val="Heading2"/>
        <w:rPr>
          <w:rStyle w:val="SubtleEmphasis"/>
          <w:i/>
          <w:iCs/>
          <w:color w:val="4A442A" w:themeColor="background2" w:themeShade="40"/>
        </w:rPr>
      </w:pPr>
      <w:bookmarkStart w:id="0" w:name="_Toc363661383"/>
      <w:bookmarkStart w:id="1" w:name="_Toc364414717"/>
      <w:bookmarkStart w:id="2" w:name="_Toc364414859"/>
      <w:bookmarkStart w:id="3" w:name="_Toc363572019"/>
      <w:bookmarkStart w:id="4" w:name="_Toc202942438"/>
      <w:r w:rsidRPr="00DA62F2">
        <w:rPr>
          <w:rStyle w:val="SubtleEmphasis"/>
          <w:color w:val="4A442A" w:themeColor="background2" w:themeShade="40"/>
        </w:rPr>
        <w:lastRenderedPageBreak/>
        <w:t>1. Valsts augu aizsardzības dienesta darbības vispārīgs raksturojums</w:t>
      </w:r>
      <w:bookmarkEnd w:id="0"/>
      <w:bookmarkEnd w:id="1"/>
      <w:bookmarkEnd w:id="2"/>
    </w:p>
    <w:bookmarkEnd w:id="3"/>
    <w:bookmarkEnd w:id="4"/>
    <w:p w:rsidR="006B22CC" w:rsidRPr="006B22CC" w:rsidRDefault="006B22CC" w:rsidP="00511419">
      <w:pPr>
        <w:widowControl w:val="0"/>
        <w:spacing w:before="120"/>
        <w:jc w:val="both"/>
        <w:rPr>
          <w:rFonts w:asciiTheme="minorHAnsi" w:hAnsiTheme="minorHAnsi"/>
        </w:rPr>
      </w:pPr>
      <w:r w:rsidRPr="006B22CC">
        <w:rPr>
          <w:rFonts w:asciiTheme="minorHAnsi" w:hAnsiTheme="minorHAnsi"/>
        </w:rPr>
        <w:t xml:space="preserve">Valsts augu aizsardzības dienests (VAAD) izveidots atbilstoši Saeimas 1998.gada 17.decembrī pieņemtajam Augu aizsardzības likumam un ir Zemkopības ministrijas (ZM) padotībā esoša valsts tiešās  pārvaldes iestāde. VAAD nodrošina valsts fitosanitāro drošību, veicot efektīvus uzraudzības pasākumus, lai valsti pasargātu no bīstamām augu slimībām un kaitēkļiem, un nodrošina augu un augu produktu eksportu, kā arī rada priekšnoteikumus, lai nesamazinātos augsnes auglība, lai lauksaimniekiem būtu pieejams vesels un kvalitatīvs pavairojamais un sēklas materiāls, līdzekļi, kas palīdz aizsargāt augus un iegūt augstākas ražas, un, lai tie neatstātu nelabvēlīgu ietekmi uz cilvēku veselību, dzīvniekiem un vidi. Lai to nodrošinātu, VAAD veic šādas funkcijas: </w:t>
      </w:r>
    </w:p>
    <w:p w:rsidR="006B22CC" w:rsidRPr="006B22CC" w:rsidRDefault="006B22CC" w:rsidP="00511419">
      <w:pPr>
        <w:widowControl w:val="0"/>
        <w:spacing w:before="120"/>
        <w:jc w:val="both"/>
        <w:rPr>
          <w:rFonts w:asciiTheme="minorHAnsi" w:hAnsiTheme="minorHAnsi"/>
        </w:rPr>
      </w:pPr>
      <w:r w:rsidRPr="006B22CC">
        <w:rPr>
          <w:rFonts w:asciiTheme="minorHAnsi" w:hAnsiTheme="minorHAnsi"/>
          <w:b/>
          <w:bCs/>
          <w:iCs/>
        </w:rPr>
        <w:t xml:space="preserve">Augu aizsardzībā </w:t>
      </w:r>
      <w:r w:rsidRPr="006B22CC">
        <w:rPr>
          <w:rFonts w:asciiTheme="minorHAnsi" w:hAnsiTheme="minorHAnsi"/>
        </w:rPr>
        <w:t>ievieš normatīvos aktus, kas regulē augu aizsardzības jomu, izvērtē un reģistrē augu aizsardzības līdzekļus (turpmāk — AAL); organizē valsts uzraudzību un kontroli pār AAL apriti; sniedz konsultācijas par AAL aprites jautājumiem, kā arī organizē AAL lietotāju un konsultantu apmācības.</w:t>
      </w:r>
    </w:p>
    <w:p w:rsidR="006B22CC" w:rsidRPr="006B22CC" w:rsidRDefault="006B22CC" w:rsidP="00511419">
      <w:pPr>
        <w:widowControl w:val="0"/>
        <w:spacing w:before="120"/>
        <w:jc w:val="both"/>
        <w:rPr>
          <w:rFonts w:asciiTheme="minorHAnsi" w:hAnsiTheme="minorHAnsi"/>
          <w:iCs/>
        </w:rPr>
      </w:pPr>
      <w:r w:rsidRPr="006B22CC">
        <w:rPr>
          <w:rFonts w:asciiTheme="minorHAnsi" w:hAnsiTheme="minorHAnsi"/>
          <w:b/>
          <w:bCs/>
          <w:iCs/>
        </w:rPr>
        <w:t xml:space="preserve">Mēslošanas līdzekļu uzraudzībā </w:t>
      </w:r>
      <w:r w:rsidRPr="006B22CC">
        <w:rPr>
          <w:rFonts w:asciiTheme="minorHAnsi" w:hAnsiTheme="minorHAnsi"/>
          <w:iCs/>
        </w:rPr>
        <w:t>nodrošina mēslošanas līdzekļu aprites uzraudzību un kontroles sistēmu.</w:t>
      </w:r>
    </w:p>
    <w:p w:rsidR="006B22CC" w:rsidRPr="006B22CC" w:rsidRDefault="006B22CC" w:rsidP="00511419">
      <w:pPr>
        <w:widowControl w:val="0"/>
        <w:spacing w:before="120"/>
        <w:jc w:val="both"/>
        <w:rPr>
          <w:rFonts w:asciiTheme="minorHAnsi" w:hAnsiTheme="minorHAnsi"/>
        </w:rPr>
      </w:pPr>
      <w:r w:rsidRPr="006B22CC">
        <w:rPr>
          <w:rFonts w:asciiTheme="minorHAnsi" w:hAnsiTheme="minorHAnsi"/>
          <w:b/>
          <w:bCs/>
        </w:rPr>
        <w:t>Agroķīmijā</w:t>
      </w:r>
      <w:r w:rsidRPr="006B22CC">
        <w:rPr>
          <w:rFonts w:asciiTheme="minorHAnsi" w:hAnsiTheme="minorHAnsi"/>
        </w:rPr>
        <w:t xml:space="preserve"> veic augsnes minerālā slāpekļa monitoringu īpaši jutīgajās teritorijās un augšņu agroķīmisko izpēti, kā arī apkopo informāciju par lauksaimniecībā izmantojamās zemes auglības līmeni. </w:t>
      </w:r>
    </w:p>
    <w:p w:rsidR="006B22CC" w:rsidRPr="006B22CC" w:rsidRDefault="006B22CC" w:rsidP="00511419">
      <w:pPr>
        <w:widowControl w:val="0"/>
        <w:spacing w:before="120"/>
        <w:jc w:val="both"/>
        <w:rPr>
          <w:rFonts w:asciiTheme="minorHAnsi" w:hAnsiTheme="minorHAnsi"/>
        </w:rPr>
      </w:pPr>
      <w:r w:rsidRPr="006B22CC">
        <w:rPr>
          <w:rFonts w:asciiTheme="minorHAnsi" w:hAnsiTheme="minorHAnsi"/>
          <w:b/>
          <w:bCs/>
        </w:rPr>
        <w:t>Augu karantīnā</w:t>
      </w:r>
      <w:r w:rsidRPr="006B22CC">
        <w:rPr>
          <w:rFonts w:asciiTheme="minorHAnsi" w:hAnsiTheme="minorHAnsi"/>
        </w:rPr>
        <w:t xml:space="preserve"> ievieš normatīvos aktus, kas regulē augu karantīnas un pavairojamā materiāla atbilstības novērtēšanas jomu; kārto fitosanitārajai kontrolei pakļauto augu un augu produktu apritē iesaistīto personu reģistru; nosaka izņēmumus attiecībā uz tiem kaitīgajiem organismiem, kuri paredzēti zinātnes, pētniecības vai šķirņu selekcijas vajadzībām; veic augu un augu produktu laboratorisko analīzi un nosaka augu karantīnas un citus bīstamus organismus, ieskaitot nematodes augsnes paraugos; veic augu un augu produktu </w:t>
      </w:r>
      <w:proofErr w:type="spellStart"/>
      <w:r w:rsidRPr="006B22CC">
        <w:rPr>
          <w:rFonts w:asciiTheme="minorHAnsi" w:hAnsiTheme="minorHAnsi"/>
        </w:rPr>
        <w:t>fumigācijas</w:t>
      </w:r>
      <w:proofErr w:type="spellEnd"/>
      <w:r w:rsidRPr="006B22CC">
        <w:rPr>
          <w:rFonts w:asciiTheme="minorHAnsi" w:hAnsiTheme="minorHAnsi"/>
        </w:rPr>
        <w:t xml:space="preserve"> kontroli importa produkcijai, kā arī veic kaitīgo organismu izplatīšanās riska analīzi.</w:t>
      </w:r>
    </w:p>
    <w:p w:rsidR="006B22CC" w:rsidRPr="006B22CC" w:rsidRDefault="006B22CC" w:rsidP="00511419">
      <w:pPr>
        <w:widowControl w:val="0"/>
        <w:spacing w:before="120"/>
        <w:jc w:val="both"/>
        <w:rPr>
          <w:rFonts w:asciiTheme="minorHAnsi" w:hAnsiTheme="minorHAnsi"/>
          <w:color w:val="21873A"/>
          <w:u w:val="single"/>
        </w:rPr>
      </w:pPr>
      <w:r w:rsidRPr="006B22CC">
        <w:rPr>
          <w:rFonts w:asciiTheme="minorHAnsi" w:hAnsiTheme="minorHAnsi"/>
          <w:b/>
          <w:bCs/>
        </w:rPr>
        <w:t>Prognožu jomā</w:t>
      </w:r>
      <w:r w:rsidRPr="006B22CC">
        <w:rPr>
          <w:rFonts w:asciiTheme="minorHAnsi" w:hAnsiTheme="minorHAnsi"/>
        </w:rPr>
        <w:t xml:space="preserve"> organizē sējumu un stādījumu fitosanitāro monitoringu un izstrādā lauksaimniecības augu kaitēkļu un slimību izplatības un attīstības prognozes.</w:t>
      </w:r>
    </w:p>
    <w:p w:rsidR="006B22CC" w:rsidRPr="006B22CC" w:rsidRDefault="006B22CC" w:rsidP="00511419">
      <w:pPr>
        <w:widowControl w:val="0"/>
        <w:spacing w:before="120"/>
        <w:jc w:val="both"/>
        <w:rPr>
          <w:rFonts w:asciiTheme="minorHAnsi" w:hAnsiTheme="minorHAnsi"/>
          <w:color w:val="000000"/>
        </w:rPr>
      </w:pPr>
      <w:r w:rsidRPr="006B22CC">
        <w:rPr>
          <w:rFonts w:asciiTheme="minorHAnsi" w:hAnsiTheme="minorHAnsi"/>
          <w:b/>
          <w:bCs/>
        </w:rPr>
        <w:t>Sēklu kontrolē</w:t>
      </w:r>
      <w:r w:rsidRPr="006B22CC">
        <w:rPr>
          <w:rFonts w:asciiTheme="minorHAnsi" w:hAnsiTheme="minorHAnsi"/>
        </w:rPr>
        <w:t xml:space="preserve"> nodrošina valsts uzraudzību un kontroli pār sēklu apriti regulējošo normatīvo aktu ievērošanu; veic sēklu sertifikācijas procesa uzraudzību; veic sēklu kvalitātes pārbaudi laboratorijā un pēcpārbaudes </w:t>
      </w:r>
      <w:proofErr w:type="spellStart"/>
      <w:r w:rsidRPr="006B22CC">
        <w:rPr>
          <w:rFonts w:asciiTheme="minorHAnsi" w:hAnsiTheme="minorHAnsi"/>
        </w:rPr>
        <w:t>kontrollauciņos</w:t>
      </w:r>
      <w:proofErr w:type="spellEnd"/>
      <w:r w:rsidRPr="006B22CC">
        <w:rPr>
          <w:rFonts w:asciiTheme="minorHAnsi" w:hAnsiTheme="minorHAnsi"/>
        </w:rPr>
        <w:t>; kārto Sēklaudzētāju un sēklu tirgotāju reģistru; pieņem lēmumus par jautājumiem, kas saistīti ar sēklas materiāla apriti regulējošo normatīvo aktu pārkāpumiem, kā arī ievieš normatīvos aktus, kas regulē selekcionāra tiesību aizsardzību un Latvijas augu šķirņu kataloga veidošanu.</w:t>
      </w:r>
    </w:p>
    <w:p w:rsidR="006B22CC" w:rsidRPr="006B22CC" w:rsidRDefault="006B22CC" w:rsidP="00511419">
      <w:pPr>
        <w:widowControl w:val="0"/>
        <w:spacing w:before="120"/>
        <w:rPr>
          <w:rFonts w:asciiTheme="minorHAnsi" w:hAnsiTheme="minorHAnsi"/>
        </w:rPr>
      </w:pPr>
      <w:r w:rsidRPr="006B22CC">
        <w:rPr>
          <w:rFonts w:asciiTheme="minorHAnsi" w:hAnsiTheme="minorHAnsi"/>
        </w:rPr>
        <w:t> </w:t>
      </w:r>
    </w:p>
    <w:p w:rsidR="006B11C2" w:rsidRPr="004E6BD8" w:rsidRDefault="006B11C2" w:rsidP="00511419">
      <w:pPr>
        <w:spacing w:before="120"/>
        <w:rPr>
          <w:rFonts w:asciiTheme="minorHAnsi" w:hAnsiTheme="minorHAnsi"/>
        </w:rPr>
      </w:pPr>
    </w:p>
    <w:p w:rsidR="006B11C2" w:rsidRPr="004E6BD8" w:rsidRDefault="006B11C2" w:rsidP="00511419">
      <w:pPr>
        <w:spacing w:before="120"/>
        <w:jc w:val="center"/>
        <w:rPr>
          <w:rFonts w:asciiTheme="minorHAnsi" w:hAnsiTheme="minorHAnsi"/>
          <w:b/>
          <w:i/>
        </w:rPr>
      </w:pPr>
    </w:p>
    <w:p w:rsidR="006B22CC" w:rsidRDefault="006B22CC" w:rsidP="00511419">
      <w:pPr>
        <w:spacing w:before="120"/>
        <w:rPr>
          <w:rFonts w:asciiTheme="minorHAnsi" w:hAnsiTheme="minorHAnsi"/>
          <w:i/>
          <w:lang w:eastAsia="en-US"/>
        </w:rPr>
      </w:pPr>
      <w:r>
        <w:rPr>
          <w:rFonts w:asciiTheme="minorHAnsi" w:hAnsiTheme="minorHAnsi"/>
          <w:b/>
        </w:rPr>
        <w:br w:type="page"/>
      </w:r>
    </w:p>
    <w:p w:rsidR="006B11C2" w:rsidRPr="004E6BD8" w:rsidRDefault="006B22CC" w:rsidP="00C73BFD">
      <w:pPr>
        <w:widowControl w:val="0"/>
        <w:spacing w:before="120"/>
        <w:jc w:val="both"/>
        <w:rPr>
          <w:rFonts w:asciiTheme="minorHAnsi" w:hAnsiTheme="minorHAnsi"/>
          <w:color w:val="003300"/>
        </w:rPr>
      </w:pPr>
      <w:r w:rsidRPr="00C73BFD">
        <w:rPr>
          <w:rFonts w:asciiTheme="minorHAnsi" w:hAnsiTheme="minorHAnsi"/>
          <w:i/>
          <w:color w:val="943634" w:themeColor="accent2" w:themeShade="BF"/>
        </w:rPr>
        <w:lastRenderedPageBreak/>
        <w:t>VAAD struktūrshēma</w:t>
      </w:r>
    </w:p>
    <w:p w:rsidR="006B11C2" w:rsidRPr="004E6BD8" w:rsidRDefault="007D1896" w:rsidP="00511419">
      <w:pPr>
        <w:spacing w:before="120"/>
        <w:rPr>
          <w:rFonts w:asciiTheme="minorHAnsi" w:hAnsiTheme="minorHAnsi"/>
          <w:color w:val="003300"/>
        </w:rPr>
      </w:pPr>
      <w:r>
        <w:rPr>
          <w:noProof/>
        </w:rPr>
        <mc:AlternateContent>
          <mc:Choice Requires="wpg">
            <w:drawing>
              <wp:anchor distT="0" distB="0" distL="114300" distR="114300" simplePos="0" relativeHeight="251663360" behindDoc="0" locked="0" layoutInCell="1" allowOverlap="1" wp14:anchorId="2D0C0757" wp14:editId="41826C32">
                <wp:simplePos x="0" y="0"/>
                <wp:positionH relativeFrom="column">
                  <wp:posOffset>-166370</wp:posOffset>
                </wp:positionH>
                <wp:positionV relativeFrom="paragraph">
                  <wp:posOffset>238760</wp:posOffset>
                </wp:positionV>
                <wp:extent cx="3192780" cy="6321425"/>
                <wp:effectExtent l="0" t="0" r="26670" b="22225"/>
                <wp:wrapNone/>
                <wp:docPr id="3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2780" cy="6321425"/>
                          <a:chOff x="1102382" y="1071635"/>
                          <a:chExt cx="31926" cy="63215"/>
                        </a:xfrm>
                      </wpg:grpSpPr>
                      <wps:wsp>
                        <wps:cNvPr id="52" name="Rectangle 15"/>
                        <wps:cNvSpPr>
                          <a:spLocks noChangeArrowheads="1"/>
                        </wps:cNvSpPr>
                        <wps:spPr bwMode="auto">
                          <a:xfrm>
                            <a:off x="1102382" y="1071635"/>
                            <a:ext cx="9360" cy="3378"/>
                          </a:xfrm>
                          <a:prstGeom prst="rect">
                            <a:avLst/>
                          </a:prstGeom>
                          <a:solidFill>
                            <a:srgbClr val="FFD56C"/>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pPr>
                              <w:r>
                                <w:t>Direktors</w:t>
                              </w:r>
                            </w:p>
                          </w:txbxContent>
                        </wps:txbx>
                        <wps:bodyPr rot="0" vert="horz" wrap="square" lIns="36576" tIns="36576" rIns="36576" bIns="36576" anchor="t" anchorCtr="0" upright="1">
                          <a:noAutofit/>
                        </wps:bodyPr>
                      </wps:wsp>
                      <wps:wsp>
                        <wps:cNvPr id="53" name="Rectangle 16"/>
                        <wps:cNvSpPr>
                          <a:spLocks noChangeArrowheads="1"/>
                        </wps:cNvSpPr>
                        <wps:spPr bwMode="auto">
                          <a:xfrm>
                            <a:off x="1124224" y="1075484"/>
                            <a:ext cx="8741" cy="3378"/>
                          </a:xfrm>
                          <a:prstGeom prst="rect">
                            <a:avLst/>
                          </a:prstGeom>
                          <a:solidFill>
                            <a:srgbClr val="E3E6CC"/>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4"/>
                                  <w:szCs w:val="14"/>
                                </w:rPr>
                              </w:pPr>
                              <w:r>
                                <w:rPr>
                                  <w:sz w:val="14"/>
                                  <w:szCs w:val="14"/>
                                </w:rPr>
                                <w:t xml:space="preserve">Direktora vietnieks </w:t>
                              </w:r>
                            </w:p>
                          </w:txbxContent>
                        </wps:txbx>
                        <wps:bodyPr rot="0" vert="horz" wrap="square" lIns="36576" tIns="36576" rIns="36576" bIns="36576" anchor="t" anchorCtr="0" upright="1">
                          <a:noAutofit/>
                        </wps:bodyPr>
                      </wps:wsp>
                      <wps:wsp>
                        <wps:cNvPr id="54" name="AutoShape 17"/>
                        <wps:cNvCnPr>
                          <a:cxnSpLocks noChangeShapeType="1"/>
                        </wps:cNvCnPr>
                        <wps:spPr bwMode="auto">
                          <a:xfrm>
                            <a:off x="1109686" y="1093963"/>
                            <a:ext cx="0" cy="912"/>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55" name="Rectangle 18"/>
                        <wps:cNvSpPr>
                          <a:spLocks noChangeArrowheads="1"/>
                        </wps:cNvSpPr>
                        <wps:spPr bwMode="auto">
                          <a:xfrm>
                            <a:off x="1103769" y="1089937"/>
                            <a:ext cx="8741"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Augu aizsardzības departaments</w:t>
                              </w:r>
                            </w:p>
                          </w:txbxContent>
                        </wps:txbx>
                        <wps:bodyPr rot="0" vert="horz" wrap="square" lIns="36576" tIns="36576" rIns="36576" bIns="36576" anchor="t" anchorCtr="0" upright="1">
                          <a:noAutofit/>
                        </wps:bodyPr>
                      </wps:wsp>
                      <wps:wsp>
                        <wps:cNvPr id="56" name="Rectangle 19"/>
                        <wps:cNvSpPr>
                          <a:spLocks noChangeArrowheads="1"/>
                        </wps:cNvSpPr>
                        <wps:spPr bwMode="auto">
                          <a:xfrm>
                            <a:off x="1105349" y="1094866"/>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4"/>
                                  <w:szCs w:val="14"/>
                                </w:rPr>
                              </w:pPr>
                              <w:r>
                                <w:rPr>
                                  <w:sz w:val="12"/>
                                  <w:szCs w:val="12"/>
                                </w:rPr>
                                <w:t>Integrētā augu</w:t>
                              </w:r>
                              <w:proofErr w:type="gramStart"/>
                              <w:r>
                                <w:rPr>
                                  <w:sz w:val="12"/>
                                  <w:szCs w:val="12"/>
                                </w:rPr>
                                <w:t xml:space="preserve">      </w:t>
                              </w:r>
                              <w:proofErr w:type="gramEnd"/>
                              <w:r>
                                <w:rPr>
                                  <w:sz w:val="12"/>
                                  <w:szCs w:val="12"/>
                                </w:rPr>
                                <w:t>aizsardzības daļa</w:t>
                              </w:r>
                            </w:p>
                          </w:txbxContent>
                        </wps:txbx>
                        <wps:bodyPr rot="0" vert="horz" wrap="square" lIns="36576" tIns="36576" rIns="36576" bIns="36576" anchor="t" anchorCtr="0" upright="1">
                          <a:noAutofit/>
                        </wps:bodyPr>
                      </wps:wsp>
                      <wps:wsp>
                        <wps:cNvPr id="57" name="Rectangle 20"/>
                        <wps:cNvSpPr>
                          <a:spLocks noChangeArrowheads="1"/>
                        </wps:cNvSpPr>
                        <wps:spPr bwMode="auto">
                          <a:xfrm>
                            <a:off x="1114350" y="1094866"/>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4"/>
                                  <w:szCs w:val="14"/>
                                </w:rPr>
                              </w:pPr>
                              <w:r>
                                <w:rPr>
                                  <w:sz w:val="12"/>
                                  <w:szCs w:val="12"/>
                                </w:rPr>
                                <w:t>AAL reģistrācijas daļa</w:t>
                              </w:r>
                            </w:p>
                          </w:txbxContent>
                        </wps:txbx>
                        <wps:bodyPr rot="0" vert="horz" wrap="square" lIns="36576" tIns="36576" rIns="36576" bIns="36576" anchor="t" anchorCtr="0" upright="1">
                          <a:noAutofit/>
                        </wps:bodyPr>
                      </wps:wsp>
                      <wps:wsp>
                        <wps:cNvPr id="58" name="AutoShape 21"/>
                        <wps:cNvCnPr>
                          <a:cxnSpLocks noChangeShapeType="1"/>
                        </wps:cNvCnPr>
                        <wps:spPr bwMode="auto">
                          <a:xfrm rot="16200000" flipH="1">
                            <a:off x="1117417" y="1084038"/>
                            <a:ext cx="1550" cy="20106"/>
                          </a:xfrm>
                          <a:prstGeom prst="bentConnector3">
                            <a:avLst>
                              <a:gd name="adj1" fmla="val 37713"/>
                            </a:avLst>
                          </a:prstGeom>
                          <a:noFill/>
                          <a:ln w="6350">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59" name="Rectangle 22"/>
                        <wps:cNvSpPr>
                          <a:spLocks noChangeArrowheads="1"/>
                        </wps:cNvSpPr>
                        <wps:spPr bwMode="auto">
                          <a:xfrm>
                            <a:off x="1123875" y="1094866"/>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Vides un</w:t>
                              </w:r>
                              <w:proofErr w:type="gramStart"/>
                              <w:r>
                                <w:rPr>
                                  <w:sz w:val="12"/>
                                  <w:szCs w:val="12"/>
                                </w:rPr>
                                <w:t xml:space="preserve">                         </w:t>
                              </w:r>
                              <w:proofErr w:type="spellStart"/>
                              <w:proofErr w:type="gramEnd"/>
                              <w:r>
                                <w:rPr>
                                  <w:sz w:val="12"/>
                                  <w:szCs w:val="12"/>
                                </w:rPr>
                                <w:t>ekotoksikoloģijas</w:t>
                              </w:r>
                              <w:proofErr w:type="spellEnd"/>
                              <w:r>
                                <w:rPr>
                                  <w:sz w:val="12"/>
                                  <w:szCs w:val="12"/>
                                </w:rPr>
                                <w:t xml:space="preserve"> daļa</w:t>
                              </w:r>
                            </w:p>
                          </w:txbxContent>
                        </wps:txbx>
                        <wps:bodyPr rot="0" vert="horz" wrap="square" lIns="36576" tIns="36576" rIns="36576" bIns="36576" anchor="t" anchorCtr="0" upright="1">
                          <a:noAutofit/>
                        </wps:bodyPr>
                      </wps:wsp>
                      <wps:wsp>
                        <wps:cNvPr id="60" name="AutoShape 23"/>
                        <wps:cNvCnPr>
                          <a:cxnSpLocks noChangeShapeType="1"/>
                        </wps:cNvCnPr>
                        <wps:spPr bwMode="auto">
                          <a:xfrm>
                            <a:off x="1102471" y="1091629"/>
                            <a:ext cx="1322" cy="8"/>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1" name="Rectangle 24"/>
                        <wps:cNvSpPr>
                          <a:spLocks noChangeArrowheads="1"/>
                        </wps:cNvSpPr>
                        <wps:spPr bwMode="auto">
                          <a:xfrm>
                            <a:off x="1103769" y="1099010"/>
                            <a:ext cx="8741" cy="3378"/>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Augu karantīnas</w:t>
                              </w:r>
                              <w:proofErr w:type="gramStart"/>
                              <w:r>
                                <w:rPr>
                                  <w:sz w:val="12"/>
                                  <w:szCs w:val="12"/>
                                </w:rPr>
                                <w:t xml:space="preserve">    </w:t>
                              </w:r>
                              <w:proofErr w:type="gramEnd"/>
                              <w:r>
                                <w:rPr>
                                  <w:sz w:val="12"/>
                                  <w:szCs w:val="12"/>
                                </w:rPr>
                                <w:t>departaments</w:t>
                              </w:r>
                            </w:p>
                          </w:txbxContent>
                        </wps:txbx>
                        <wps:bodyPr rot="0" vert="horz" wrap="square" lIns="36576" tIns="36576" rIns="36576" bIns="36576" anchor="t" anchorCtr="0" upright="1">
                          <a:noAutofit/>
                        </wps:bodyPr>
                      </wps:wsp>
                      <wps:wsp>
                        <wps:cNvPr id="62" name="Rectangle 25"/>
                        <wps:cNvSpPr>
                          <a:spLocks noChangeArrowheads="1"/>
                        </wps:cNvSpPr>
                        <wps:spPr bwMode="auto">
                          <a:xfrm>
                            <a:off x="1105349" y="1103867"/>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4"/>
                                  <w:szCs w:val="14"/>
                                </w:rPr>
                              </w:pPr>
                              <w:r>
                                <w:rPr>
                                  <w:sz w:val="12"/>
                                  <w:szCs w:val="12"/>
                                </w:rPr>
                                <w:t>Fitosanitārās uzraudzības daļa</w:t>
                              </w:r>
                            </w:p>
                          </w:txbxContent>
                        </wps:txbx>
                        <wps:bodyPr rot="0" vert="horz" wrap="square" lIns="36576" tIns="36576" rIns="36576" bIns="36576" anchor="t" anchorCtr="0" upright="1">
                          <a:noAutofit/>
                        </wps:bodyPr>
                      </wps:wsp>
                      <wps:wsp>
                        <wps:cNvPr id="63" name="Rectangle 26"/>
                        <wps:cNvSpPr>
                          <a:spLocks noChangeArrowheads="1"/>
                        </wps:cNvSpPr>
                        <wps:spPr bwMode="auto">
                          <a:xfrm>
                            <a:off x="1114350" y="1103867"/>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0"/>
                                  <w:szCs w:val="10"/>
                                </w:rPr>
                              </w:pPr>
                              <w:r>
                                <w:rPr>
                                  <w:sz w:val="10"/>
                                  <w:szCs w:val="10"/>
                                </w:rPr>
                                <w:t>Kaitīgo organismu</w:t>
                              </w:r>
                              <w:proofErr w:type="gramStart"/>
                              <w:r>
                                <w:rPr>
                                  <w:sz w:val="10"/>
                                  <w:szCs w:val="10"/>
                                </w:rPr>
                                <w:t xml:space="preserve">       </w:t>
                              </w:r>
                              <w:proofErr w:type="gramEnd"/>
                              <w:r>
                                <w:rPr>
                                  <w:sz w:val="10"/>
                                  <w:szCs w:val="10"/>
                                </w:rPr>
                                <w:t>ierobežošanas darba grupa</w:t>
                              </w:r>
                            </w:p>
                          </w:txbxContent>
                        </wps:txbx>
                        <wps:bodyPr rot="0" vert="horz" wrap="square" lIns="36576" tIns="36576" rIns="36576" bIns="36576" anchor="t" anchorCtr="0" upright="1">
                          <a:noAutofit/>
                        </wps:bodyPr>
                      </wps:wsp>
                      <wps:wsp>
                        <wps:cNvPr id="96" name="Rectangle 27"/>
                        <wps:cNvSpPr>
                          <a:spLocks noChangeArrowheads="1"/>
                        </wps:cNvSpPr>
                        <wps:spPr bwMode="auto">
                          <a:xfrm>
                            <a:off x="1123875" y="1103867"/>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Nacionālā fitosanitārā laboratorija</w:t>
                              </w:r>
                            </w:p>
                          </w:txbxContent>
                        </wps:txbx>
                        <wps:bodyPr rot="0" vert="horz" wrap="square" lIns="36576" tIns="36576" rIns="36576" bIns="36576" anchor="t" anchorCtr="0" upright="1">
                          <a:noAutofit/>
                        </wps:bodyPr>
                      </wps:wsp>
                      <wps:wsp>
                        <wps:cNvPr id="97" name="Rectangle 28"/>
                        <wps:cNvSpPr>
                          <a:spLocks noChangeArrowheads="1"/>
                        </wps:cNvSpPr>
                        <wps:spPr bwMode="auto">
                          <a:xfrm>
                            <a:off x="1103769" y="1108058"/>
                            <a:ext cx="8741"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Agroķīmijas</w:t>
                              </w:r>
                              <w:proofErr w:type="gramStart"/>
                              <w:r>
                                <w:rPr>
                                  <w:sz w:val="12"/>
                                  <w:szCs w:val="12"/>
                                </w:rPr>
                                <w:t xml:space="preserve">            </w:t>
                              </w:r>
                              <w:proofErr w:type="gramEnd"/>
                              <w:r>
                                <w:rPr>
                                  <w:sz w:val="12"/>
                                  <w:szCs w:val="12"/>
                                </w:rPr>
                                <w:t>departaments</w:t>
                              </w:r>
                            </w:p>
                          </w:txbxContent>
                        </wps:txbx>
                        <wps:bodyPr rot="0" vert="horz" wrap="square" lIns="36576" tIns="36576" rIns="36576" bIns="36576" anchor="t" anchorCtr="0" upright="1">
                          <a:noAutofit/>
                        </wps:bodyPr>
                      </wps:wsp>
                      <wps:wsp>
                        <wps:cNvPr id="98" name="Rectangle 29"/>
                        <wps:cNvSpPr>
                          <a:spLocks noChangeArrowheads="1"/>
                        </wps:cNvSpPr>
                        <wps:spPr bwMode="auto">
                          <a:xfrm>
                            <a:off x="1105301" y="1113011"/>
                            <a:ext cx="8741"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Augšņu agroķīmiskās izpētes daļa</w:t>
                              </w:r>
                            </w:p>
                          </w:txbxContent>
                        </wps:txbx>
                        <wps:bodyPr rot="0" vert="horz" wrap="square" lIns="36576" tIns="36576" rIns="36576" bIns="36576" anchor="t" anchorCtr="0" upright="1">
                          <a:noAutofit/>
                        </wps:bodyPr>
                      </wps:wsp>
                      <wps:wsp>
                        <wps:cNvPr id="99" name="Rectangle 30"/>
                        <wps:cNvSpPr>
                          <a:spLocks noChangeArrowheads="1"/>
                        </wps:cNvSpPr>
                        <wps:spPr bwMode="auto">
                          <a:xfrm>
                            <a:off x="1114350" y="1113011"/>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4"/>
                                  <w:szCs w:val="14"/>
                                </w:rPr>
                              </w:pPr>
                              <w:r>
                                <w:rPr>
                                  <w:sz w:val="12"/>
                                  <w:szCs w:val="12"/>
                                </w:rPr>
                                <w:t>Agroķīmijas laboratorija</w:t>
                              </w:r>
                            </w:p>
                          </w:txbxContent>
                        </wps:txbx>
                        <wps:bodyPr rot="0" vert="horz" wrap="square" lIns="36576" tIns="36576" rIns="36576" bIns="36576" anchor="t" anchorCtr="0" upright="1">
                          <a:noAutofit/>
                        </wps:bodyPr>
                      </wps:wsp>
                      <wps:wsp>
                        <wps:cNvPr id="100" name="AutoShape 31"/>
                        <wps:cNvCnPr>
                          <a:cxnSpLocks noChangeShapeType="1"/>
                        </wps:cNvCnPr>
                        <wps:spPr bwMode="auto">
                          <a:xfrm>
                            <a:off x="1109686" y="1103011"/>
                            <a:ext cx="0" cy="913"/>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101" name="AutoShape 32"/>
                        <wps:cNvCnPr>
                          <a:cxnSpLocks noChangeShapeType="1"/>
                        </wps:cNvCnPr>
                        <wps:spPr bwMode="auto">
                          <a:xfrm>
                            <a:off x="1118735" y="1102988"/>
                            <a:ext cx="0" cy="912"/>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102" name="AutoShape 33"/>
                        <wps:cNvCnPr>
                          <a:cxnSpLocks noChangeShapeType="1"/>
                        </wps:cNvCnPr>
                        <wps:spPr bwMode="auto">
                          <a:xfrm>
                            <a:off x="1109686" y="1112060"/>
                            <a:ext cx="0" cy="913"/>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103" name="AutoShape 34"/>
                        <wps:cNvCnPr>
                          <a:cxnSpLocks noChangeShapeType="1"/>
                          <a:stCxn id="53" idx="2"/>
                          <a:endCxn id="55" idx="0"/>
                        </wps:cNvCnPr>
                        <wps:spPr bwMode="auto">
                          <a:xfrm rot="16200000" flipH="1">
                            <a:off x="1112643" y="1106933"/>
                            <a:ext cx="1574" cy="10581"/>
                          </a:xfrm>
                          <a:prstGeom prst="bentConnector3">
                            <a:avLst>
                              <a:gd name="adj1" fmla="val 31847"/>
                            </a:avLst>
                          </a:prstGeom>
                          <a:noFill/>
                          <a:ln w="6350">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106" name="Rectangle 35"/>
                        <wps:cNvSpPr>
                          <a:spLocks noChangeArrowheads="1"/>
                        </wps:cNvSpPr>
                        <wps:spPr bwMode="auto">
                          <a:xfrm>
                            <a:off x="1103769" y="1117441"/>
                            <a:ext cx="8741" cy="3378"/>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Sēklu kontroles</w:t>
                              </w:r>
                              <w:proofErr w:type="gramStart"/>
                              <w:r>
                                <w:rPr>
                                  <w:sz w:val="12"/>
                                  <w:szCs w:val="12"/>
                                </w:rPr>
                                <w:t xml:space="preserve">     </w:t>
                              </w:r>
                              <w:proofErr w:type="gramEnd"/>
                              <w:r>
                                <w:rPr>
                                  <w:sz w:val="12"/>
                                  <w:szCs w:val="12"/>
                                </w:rPr>
                                <w:t>departaments</w:t>
                              </w:r>
                            </w:p>
                          </w:txbxContent>
                        </wps:txbx>
                        <wps:bodyPr rot="0" vert="horz" wrap="square" lIns="36576" tIns="36576" rIns="36576" bIns="36576" anchor="t" anchorCtr="0" upright="1">
                          <a:noAutofit/>
                        </wps:bodyPr>
                      </wps:wsp>
                      <wps:wsp>
                        <wps:cNvPr id="107" name="Rectangle 36"/>
                        <wps:cNvSpPr>
                          <a:spLocks noChangeArrowheads="1"/>
                        </wps:cNvSpPr>
                        <wps:spPr bwMode="auto">
                          <a:xfrm>
                            <a:off x="1105301" y="1122346"/>
                            <a:ext cx="8741"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Sēklu sertifikācijas un šķirņu aizsardzības daļa</w:t>
                              </w:r>
                            </w:p>
                          </w:txbxContent>
                        </wps:txbx>
                        <wps:bodyPr rot="0" vert="horz" wrap="square" lIns="36576" tIns="36576" rIns="36576" bIns="36576" anchor="t" anchorCtr="0" upright="1">
                          <a:noAutofit/>
                        </wps:bodyPr>
                      </wps:wsp>
                      <wps:wsp>
                        <wps:cNvPr id="108" name="Rectangle 37"/>
                        <wps:cNvSpPr>
                          <a:spLocks noChangeArrowheads="1"/>
                        </wps:cNvSpPr>
                        <wps:spPr bwMode="auto">
                          <a:xfrm>
                            <a:off x="1114350" y="1122346"/>
                            <a:ext cx="8740"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Nacionālā sēklu</w:t>
                              </w:r>
                              <w:proofErr w:type="gramStart"/>
                              <w:r>
                                <w:rPr>
                                  <w:sz w:val="12"/>
                                  <w:szCs w:val="12"/>
                                </w:rPr>
                                <w:t xml:space="preserve">     </w:t>
                              </w:r>
                              <w:proofErr w:type="gramEnd"/>
                              <w:r>
                                <w:rPr>
                                  <w:sz w:val="12"/>
                                  <w:szCs w:val="12"/>
                                </w:rPr>
                                <w:t>kontroles laboratorija</w:t>
                              </w:r>
                            </w:p>
                          </w:txbxContent>
                        </wps:txbx>
                        <wps:bodyPr rot="0" vert="horz" wrap="square" lIns="36576" tIns="36576" rIns="36576" bIns="36576" anchor="t" anchorCtr="0" upright="1">
                          <a:noAutofit/>
                        </wps:bodyPr>
                      </wps:wsp>
                      <wps:wsp>
                        <wps:cNvPr id="110" name="AutoShape 38"/>
                        <wps:cNvCnPr>
                          <a:cxnSpLocks noChangeShapeType="1"/>
                        </wps:cNvCnPr>
                        <wps:spPr bwMode="auto">
                          <a:xfrm>
                            <a:off x="1109686" y="1121395"/>
                            <a:ext cx="0" cy="912"/>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4" name="AutoShape 39"/>
                        <wps:cNvCnPr>
                          <a:cxnSpLocks noChangeShapeType="1"/>
                          <a:endCxn id="62" idx="0"/>
                        </wps:cNvCnPr>
                        <wps:spPr bwMode="auto">
                          <a:xfrm rot="16200000" flipH="1">
                            <a:off x="1112643" y="1116268"/>
                            <a:ext cx="1574" cy="10581"/>
                          </a:xfrm>
                          <a:prstGeom prst="bentConnector3">
                            <a:avLst>
                              <a:gd name="adj1" fmla="val 50000"/>
                            </a:avLst>
                          </a:prstGeom>
                          <a:noFill/>
                          <a:ln w="6350">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5" name="AutoShape 40"/>
                        <wps:cNvCnPr>
                          <a:cxnSpLocks noChangeShapeType="1"/>
                          <a:endCxn id="83" idx="1"/>
                        </wps:cNvCnPr>
                        <wps:spPr bwMode="auto">
                          <a:xfrm rot="5400000">
                            <a:off x="1078938" y="1099987"/>
                            <a:ext cx="53242" cy="3293"/>
                          </a:xfrm>
                          <a:prstGeom prst="bentConnector4">
                            <a:avLst>
                              <a:gd name="adj1" fmla="val 3329"/>
                              <a:gd name="adj2" fmla="val 141940"/>
                            </a:avLst>
                          </a:prstGeom>
                          <a:noFill/>
                          <a:ln w="9525">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6" name="AutoShape 41"/>
                        <wps:cNvCnPr>
                          <a:cxnSpLocks noChangeShapeType="1"/>
                        </wps:cNvCnPr>
                        <wps:spPr bwMode="auto">
                          <a:xfrm>
                            <a:off x="1102483" y="1100678"/>
                            <a:ext cx="1298" cy="8"/>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7" name="AutoShape 42"/>
                        <wps:cNvCnPr>
                          <a:cxnSpLocks noChangeShapeType="1"/>
                        </wps:cNvCnPr>
                        <wps:spPr bwMode="auto">
                          <a:xfrm flipV="1">
                            <a:off x="1102483" y="1109734"/>
                            <a:ext cx="1274" cy="16"/>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8" name="AutoShape 43"/>
                        <wps:cNvCnPr>
                          <a:cxnSpLocks noChangeShapeType="1"/>
                        </wps:cNvCnPr>
                        <wps:spPr bwMode="auto">
                          <a:xfrm>
                            <a:off x="1102495" y="1119251"/>
                            <a:ext cx="1286" cy="8"/>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69" name="Rectangle 44"/>
                        <wps:cNvSpPr>
                          <a:spLocks noChangeArrowheads="1"/>
                        </wps:cNvSpPr>
                        <wps:spPr bwMode="auto">
                          <a:xfrm>
                            <a:off x="1123865" y="1109501"/>
                            <a:ext cx="8741" cy="3379"/>
                          </a:xfrm>
                          <a:prstGeom prst="rect">
                            <a:avLst/>
                          </a:prstGeom>
                          <a:solidFill>
                            <a:srgbClr val="E3E6CC"/>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right"/>
                                <w:rPr>
                                  <w:sz w:val="12"/>
                                  <w:szCs w:val="12"/>
                                </w:rPr>
                              </w:pPr>
                              <w:r>
                                <w:rPr>
                                  <w:sz w:val="12"/>
                                  <w:szCs w:val="12"/>
                                </w:rPr>
                                <w:t>Finanšu un uzskaites daļa</w:t>
                              </w:r>
                            </w:p>
                          </w:txbxContent>
                        </wps:txbx>
                        <wps:bodyPr rot="0" vert="horz" wrap="square" lIns="36576" tIns="36576" rIns="36576" bIns="36576" anchor="t" anchorCtr="0" upright="1">
                          <a:noAutofit/>
                        </wps:bodyPr>
                      </wps:wsp>
                      <wps:wsp>
                        <wps:cNvPr id="70" name="Rectangle 45"/>
                        <wps:cNvSpPr>
                          <a:spLocks noChangeArrowheads="1"/>
                        </wps:cNvSpPr>
                        <wps:spPr bwMode="auto">
                          <a:xfrm>
                            <a:off x="1123865" y="1113549"/>
                            <a:ext cx="8741" cy="3379"/>
                          </a:xfrm>
                          <a:prstGeom prst="rect">
                            <a:avLst/>
                          </a:prstGeom>
                          <a:solidFill>
                            <a:srgbClr val="E3E6CC"/>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right"/>
                                <w:rPr>
                                  <w:sz w:val="12"/>
                                  <w:szCs w:val="12"/>
                                </w:rPr>
                              </w:pPr>
                              <w:r>
                                <w:rPr>
                                  <w:sz w:val="12"/>
                                  <w:szCs w:val="12"/>
                                </w:rPr>
                                <w:t>Saimniecības daļa</w:t>
                              </w:r>
                            </w:p>
                          </w:txbxContent>
                        </wps:txbx>
                        <wps:bodyPr rot="0" vert="horz" wrap="square" lIns="36576" tIns="36576" rIns="36576" bIns="36576" anchor="t" anchorCtr="0" upright="1">
                          <a:noAutofit/>
                        </wps:bodyPr>
                      </wps:wsp>
                      <wps:wsp>
                        <wps:cNvPr id="71" name="Rectangle 46"/>
                        <wps:cNvSpPr>
                          <a:spLocks noChangeArrowheads="1"/>
                        </wps:cNvSpPr>
                        <wps:spPr bwMode="auto">
                          <a:xfrm>
                            <a:off x="1123865" y="1117431"/>
                            <a:ext cx="8741" cy="3378"/>
                          </a:xfrm>
                          <a:prstGeom prst="rect">
                            <a:avLst/>
                          </a:prstGeom>
                          <a:solidFill>
                            <a:srgbClr val="E3E6CC"/>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right"/>
                                <w:rPr>
                                  <w:sz w:val="12"/>
                                  <w:szCs w:val="12"/>
                                </w:rPr>
                              </w:pPr>
                              <w:r>
                                <w:rPr>
                                  <w:sz w:val="12"/>
                                  <w:szCs w:val="12"/>
                                </w:rPr>
                                <w:t>Informācijas daļa</w:t>
                              </w:r>
                            </w:p>
                          </w:txbxContent>
                        </wps:txbx>
                        <wps:bodyPr rot="0" vert="horz" wrap="square" lIns="36576" tIns="36576" rIns="36576" bIns="36576" anchor="t" anchorCtr="0" upright="1">
                          <a:noAutofit/>
                        </wps:bodyPr>
                      </wps:wsp>
                      <wps:wsp>
                        <wps:cNvPr id="72" name="Rectangle 47"/>
                        <wps:cNvSpPr>
                          <a:spLocks noChangeArrowheads="1"/>
                        </wps:cNvSpPr>
                        <wps:spPr bwMode="auto">
                          <a:xfrm>
                            <a:off x="1104722" y="1081650"/>
                            <a:ext cx="8740"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0"/>
                                  <w:szCs w:val="10"/>
                                </w:rPr>
                              </w:pPr>
                              <w:r>
                                <w:rPr>
                                  <w:sz w:val="10"/>
                                  <w:szCs w:val="10"/>
                                </w:rPr>
                                <w:t xml:space="preserve">Rīgas reģionālā un vispārējās uzraudzības nodaļa </w:t>
                              </w:r>
                            </w:p>
                          </w:txbxContent>
                        </wps:txbx>
                        <wps:bodyPr rot="0" vert="horz" wrap="square" lIns="36576" tIns="36576" rIns="36576" bIns="36576" anchor="t" anchorCtr="0" upright="1">
                          <a:noAutofit/>
                        </wps:bodyPr>
                      </wps:wsp>
                      <wps:wsp>
                        <wps:cNvPr id="73" name="Rectangle 48"/>
                        <wps:cNvSpPr>
                          <a:spLocks noChangeArrowheads="1"/>
                        </wps:cNvSpPr>
                        <wps:spPr bwMode="auto">
                          <a:xfrm>
                            <a:off x="1113770" y="1081650"/>
                            <a:ext cx="8741"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2"/>
                                  <w:szCs w:val="12"/>
                                </w:rPr>
                              </w:pPr>
                              <w:r>
                                <w:rPr>
                                  <w:sz w:val="12"/>
                                  <w:szCs w:val="12"/>
                                </w:rPr>
                                <w:t xml:space="preserve">Vidzemes reģionālā nodaļa </w:t>
                              </w:r>
                            </w:p>
                          </w:txbxContent>
                        </wps:txbx>
                        <wps:bodyPr rot="0" vert="horz" wrap="square" lIns="36576" tIns="36576" rIns="36576" bIns="36576" anchor="t" anchorCtr="0" upright="1">
                          <a:noAutofit/>
                        </wps:bodyPr>
                      </wps:wsp>
                      <wps:wsp>
                        <wps:cNvPr id="74" name="Rectangle 49"/>
                        <wps:cNvSpPr>
                          <a:spLocks noChangeArrowheads="1"/>
                        </wps:cNvSpPr>
                        <wps:spPr bwMode="auto">
                          <a:xfrm>
                            <a:off x="1109817" y="1085222"/>
                            <a:ext cx="8741"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2"/>
                                  <w:szCs w:val="12"/>
                                </w:rPr>
                              </w:pPr>
                              <w:r>
                                <w:rPr>
                                  <w:sz w:val="12"/>
                                  <w:szCs w:val="12"/>
                                </w:rPr>
                                <w:t xml:space="preserve">Kurzemes reģionālā nodaļa </w:t>
                              </w:r>
                            </w:p>
                          </w:txbxContent>
                        </wps:txbx>
                        <wps:bodyPr rot="0" vert="horz" wrap="square" lIns="36576" tIns="36576" rIns="36576" bIns="36576" anchor="t" anchorCtr="0" upright="1">
                          <a:noAutofit/>
                        </wps:bodyPr>
                      </wps:wsp>
                      <wps:wsp>
                        <wps:cNvPr id="75" name="Rectangle 50"/>
                        <wps:cNvSpPr>
                          <a:spLocks noChangeArrowheads="1"/>
                        </wps:cNvSpPr>
                        <wps:spPr bwMode="auto">
                          <a:xfrm>
                            <a:off x="1118866" y="1085222"/>
                            <a:ext cx="8741"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2"/>
                                  <w:szCs w:val="12"/>
                                </w:rPr>
                              </w:pPr>
                              <w:r>
                                <w:rPr>
                                  <w:sz w:val="12"/>
                                  <w:szCs w:val="12"/>
                                </w:rPr>
                                <w:t xml:space="preserve">Latgales reģionālā nodaļa </w:t>
                              </w:r>
                            </w:p>
                          </w:txbxContent>
                        </wps:txbx>
                        <wps:bodyPr rot="0" vert="horz" wrap="square" lIns="36576" tIns="36576" rIns="36576" bIns="36576" anchor="t" anchorCtr="0" upright="1">
                          <a:noAutofit/>
                        </wps:bodyPr>
                      </wps:wsp>
                      <wps:wsp>
                        <wps:cNvPr id="76" name="Rectangle 51"/>
                        <wps:cNvSpPr>
                          <a:spLocks noChangeArrowheads="1"/>
                        </wps:cNvSpPr>
                        <wps:spPr bwMode="auto">
                          <a:xfrm>
                            <a:off x="1122724" y="1081650"/>
                            <a:ext cx="8740"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2"/>
                                  <w:szCs w:val="12"/>
                                </w:rPr>
                              </w:pPr>
                              <w:r>
                                <w:rPr>
                                  <w:sz w:val="12"/>
                                  <w:szCs w:val="12"/>
                                </w:rPr>
                                <w:t xml:space="preserve">Zemgales reģionālā nodaļa </w:t>
                              </w:r>
                            </w:p>
                          </w:txbxContent>
                        </wps:txbx>
                        <wps:bodyPr rot="0" vert="horz" wrap="square" lIns="36576" tIns="36576" rIns="36576" bIns="36576" anchor="t" anchorCtr="0" upright="1">
                          <a:noAutofit/>
                        </wps:bodyPr>
                      </wps:wsp>
                      <wps:wsp>
                        <wps:cNvPr id="77" name="Rectangle 52"/>
                        <wps:cNvSpPr>
                          <a:spLocks noChangeArrowheads="1"/>
                        </wps:cNvSpPr>
                        <wps:spPr bwMode="auto">
                          <a:xfrm>
                            <a:off x="1113827" y="1077960"/>
                            <a:ext cx="8740" cy="3379"/>
                          </a:xfrm>
                          <a:prstGeom prst="rect">
                            <a:avLst/>
                          </a:prstGeom>
                          <a:solidFill>
                            <a:srgbClr val="D3E7D8"/>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jc w:val="center"/>
                                <w:rPr>
                                  <w:sz w:val="14"/>
                                  <w:szCs w:val="14"/>
                                </w:rPr>
                              </w:pPr>
                              <w:r>
                                <w:rPr>
                                  <w:sz w:val="14"/>
                                  <w:szCs w:val="14"/>
                                </w:rPr>
                                <w:t xml:space="preserve">Direktora vietnieks </w:t>
                              </w:r>
                              <w:r>
                                <w:rPr>
                                  <w:sz w:val="12"/>
                                  <w:szCs w:val="12"/>
                                </w:rPr>
                                <w:t>(galvenais inspektors)</w:t>
                              </w:r>
                            </w:p>
                          </w:txbxContent>
                        </wps:txbx>
                        <wps:bodyPr rot="0" vert="horz" wrap="square" lIns="36576" tIns="36576" rIns="36576" bIns="36576" anchor="t" anchorCtr="0" upright="1">
                          <a:noAutofit/>
                        </wps:bodyPr>
                      </wps:wsp>
                      <wps:wsp>
                        <wps:cNvPr id="78" name="AutoShape 53"/>
                        <wps:cNvCnPr>
                          <a:cxnSpLocks noChangeShapeType="1"/>
                        </wps:cNvCnPr>
                        <wps:spPr bwMode="auto">
                          <a:xfrm>
                            <a:off x="1111742" y="1073324"/>
                            <a:ext cx="16852" cy="2160"/>
                          </a:xfrm>
                          <a:prstGeom prst="bentConnector2">
                            <a:avLst/>
                          </a:prstGeom>
                          <a:noFill/>
                          <a:ln w="9525">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79" name="AutoShape 54"/>
                        <wps:cNvCnPr>
                          <a:cxnSpLocks noChangeShapeType="1"/>
                        </wps:cNvCnPr>
                        <wps:spPr bwMode="auto">
                          <a:xfrm>
                            <a:off x="1118235" y="1073293"/>
                            <a:ext cx="0" cy="4628"/>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0" name="AutoShape 55"/>
                        <wps:cNvCnPr>
                          <a:cxnSpLocks noChangeShapeType="1"/>
                          <a:endCxn id="71" idx="3"/>
                        </wps:cNvCnPr>
                        <wps:spPr bwMode="auto">
                          <a:xfrm flipH="1">
                            <a:off x="1132606" y="1077173"/>
                            <a:ext cx="359" cy="41947"/>
                          </a:xfrm>
                          <a:prstGeom prst="bentConnector3">
                            <a:avLst>
                              <a:gd name="adj1" fmla="val -358116"/>
                            </a:avLst>
                          </a:prstGeom>
                          <a:noFill/>
                          <a:ln w="9525">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1" name="AutoShape 56"/>
                        <wps:cNvCnPr>
                          <a:cxnSpLocks noChangeShapeType="1"/>
                        </wps:cNvCnPr>
                        <wps:spPr bwMode="auto">
                          <a:xfrm flipH="1" flipV="1">
                            <a:off x="1132546" y="1111175"/>
                            <a:ext cx="1750" cy="4"/>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2" name="AutoShape 57"/>
                        <wps:cNvCnPr>
                          <a:cxnSpLocks noChangeShapeType="1"/>
                        </wps:cNvCnPr>
                        <wps:spPr bwMode="auto">
                          <a:xfrm flipH="1" flipV="1">
                            <a:off x="1132558" y="1115259"/>
                            <a:ext cx="1750" cy="4"/>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3" name="Rectangle 58"/>
                        <wps:cNvSpPr>
                          <a:spLocks noChangeArrowheads="1"/>
                        </wps:cNvSpPr>
                        <wps:spPr bwMode="auto">
                          <a:xfrm>
                            <a:off x="1103912" y="1126566"/>
                            <a:ext cx="8741" cy="3379"/>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Stratēģijas un metodoloģijas departaments</w:t>
                              </w:r>
                            </w:p>
                          </w:txbxContent>
                        </wps:txbx>
                        <wps:bodyPr rot="0" vert="horz" wrap="square" lIns="36576" tIns="36576" rIns="36576" bIns="36576" anchor="t" anchorCtr="0" upright="1">
                          <a:noAutofit/>
                        </wps:bodyPr>
                      </wps:wsp>
                      <wps:wsp>
                        <wps:cNvPr id="84" name="Rectangle 59"/>
                        <wps:cNvSpPr>
                          <a:spLocks noChangeArrowheads="1"/>
                        </wps:cNvSpPr>
                        <wps:spPr bwMode="auto">
                          <a:xfrm>
                            <a:off x="1105444" y="1131472"/>
                            <a:ext cx="8741" cy="3378"/>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Juridiskā daļa</w:t>
                              </w:r>
                            </w:p>
                          </w:txbxContent>
                        </wps:txbx>
                        <wps:bodyPr rot="0" vert="horz" wrap="square" lIns="36576" tIns="36576" rIns="36576" bIns="36576" anchor="t" anchorCtr="0" upright="1">
                          <a:noAutofit/>
                        </wps:bodyPr>
                      </wps:wsp>
                      <wps:wsp>
                        <wps:cNvPr id="85" name="Rectangle 60"/>
                        <wps:cNvSpPr>
                          <a:spLocks noChangeArrowheads="1"/>
                        </wps:cNvSpPr>
                        <wps:spPr bwMode="auto">
                          <a:xfrm>
                            <a:off x="1114493" y="1131472"/>
                            <a:ext cx="8740" cy="3378"/>
                          </a:xfrm>
                          <a:prstGeom prst="rect">
                            <a:avLst/>
                          </a:prstGeom>
                          <a:solidFill>
                            <a:srgbClr val="FFF1CE"/>
                          </a:solidFill>
                          <a:ln w="9525" algn="in">
                            <a:solidFill>
                              <a:srgbClr val="555F00"/>
                            </a:solidFill>
                            <a:miter lim="800000"/>
                            <a:headEnd/>
                            <a:tailEnd/>
                          </a:ln>
                          <a:effectLst/>
                          <a:extLs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FC084B" w:rsidRDefault="00FC084B" w:rsidP="006B22CC">
                              <w:pPr>
                                <w:widowControl w:val="0"/>
                                <w:rPr>
                                  <w:sz w:val="12"/>
                                  <w:szCs w:val="12"/>
                                </w:rPr>
                              </w:pPr>
                              <w:r>
                                <w:rPr>
                                  <w:sz w:val="12"/>
                                  <w:szCs w:val="12"/>
                                </w:rPr>
                                <w:t>Dokumentu pārvaldības daļa</w:t>
                              </w:r>
                            </w:p>
                          </w:txbxContent>
                        </wps:txbx>
                        <wps:bodyPr rot="0" vert="horz" wrap="square" lIns="36576" tIns="36576" rIns="36576" bIns="36576" anchor="t" anchorCtr="0" upright="1">
                          <a:noAutofit/>
                        </wps:bodyPr>
                      </wps:wsp>
                      <wps:wsp>
                        <wps:cNvPr id="86" name="AutoShape 61"/>
                        <wps:cNvCnPr>
                          <a:cxnSpLocks noChangeShapeType="1"/>
                        </wps:cNvCnPr>
                        <wps:spPr bwMode="auto">
                          <a:xfrm>
                            <a:off x="1109829" y="1130520"/>
                            <a:ext cx="0" cy="913"/>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7" name="AutoShape 62"/>
                        <wps:cNvCnPr>
                          <a:cxnSpLocks noChangeShapeType="1"/>
                          <a:endCxn id="85" idx="0"/>
                        </wps:cNvCnPr>
                        <wps:spPr bwMode="auto">
                          <a:xfrm rot="16200000" flipH="1">
                            <a:off x="1112785" y="1125394"/>
                            <a:ext cx="1575" cy="10581"/>
                          </a:xfrm>
                          <a:prstGeom prst="bentConnector3">
                            <a:avLst>
                              <a:gd name="adj1" fmla="val 50000"/>
                            </a:avLst>
                          </a:prstGeom>
                          <a:noFill/>
                          <a:ln w="6350">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8" name="AutoShape 63"/>
                        <wps:cNvCnPr>
                          <a:cxnSpLocks noChangeShapeType="1"/>
                        </wps:cNvCnPr>
                        <wps:spPr bwMode="auto">
                          <a:xfrm rot="16200000" flipH="1">
                            <a:off x="1117416" y="1093135"/>
                            <a:ext cx="1551" cy="20106"/>
                          </a:xfrm>
                          <a:prstGeom prst="bentConnector3">
                            <a:avLst>
                              <a:gd name="adj1" fmla="val 28500"/>
                            </a:avLst>
                          </a:prstGeom>
                          <a:noFill/>
                          <a:ln w="6350">
                            <a:solidFill>
                              <a:srgbClr val="555F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s:wsp>
                        <wps:cNvPr id="89" name="AutoShape 64"/>
                        <wps:cNvCnPr>
                          <a:cxnSpLocks noChangeShapeType="1"/>
                        </wps:cNvCnPr>
                        <wps:spPr bwMode="auto">
                          <a:xfrm>
                            <a:off x="1118259" y="1094129"/>
                            <a:ext cx="0" cy="913"/>
                          </a:xfrm>
                          <a:prstGeom prst="straightConnector1">
                            <a:avLst/>
                          </a:prstGeom>
                          <a:noFill/>
                          <a:ln w="6350">
                            <a:solidFill>
                              <a:srgbClr val="555F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3.1pt;margin-top:18.8pt;width:251.4pt;height:497.75pt;z-index:251663360" coordorigin="11023,10716" coordsize="31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">
                <v:rect id="Rectangle 15" o:spid="_x0000_s1027" style="position:absolute;left:11023;top:10716;width:94;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m8cAA&#10;AADbAAAADwAAAGRycy9kb3ducmV2LnhtbERPTYvCMBC9C/6HMIIXWVMFZbdrFBVEV7ysinsdmrEt&#10;NpOSRK3/3iwIHh/vezJrTCVu5HxpWcGgn4AgzqwuOVdwPKw+PkH4gKyxskwKHuRhNm23Jphqe+df&#10;uu1DLmII+xQVFCHUqZQ+K8ig79uaOHJn6wyGCF0utcN7DDeVHCbJWBosOTYUWNOyoOyyvxoFtDtX&#10;f2t3+NomvCib3iY//cQ9qttp5t8gAjXhLX65N1rBaAj/X+IPkN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jm8cAAAADbAAAADwAAAAAAAAAAAAAAAACYAgAAZHJzL2Rvd25y&#10;ZXYueG1sUEsFBgAAAAAEAAQA9QAAAIUDAAAAAA==&#10;" fillcolor="#ffd56c" strokecolor="#555f00" insetpen="t">
                  <v:shadow color="#e7dec9"/>
                  <v:textbox inset="2.88pt,2.88pt,2.88pt,2.88pt">
                    <w:txbxContent>
                      <w:p w:rsidR="00FC084B" w:rsidRDefault="00FC084B" w:rsidP="006B22CC">
                        <w:pPr>
                          <w:widowControl w:val="0"/>
                          <w:jc w:val="center"/>
                        </w:pPr>
                        <w:r>
                          <w:t>Direktors</w:t>
                        </w:r>
                      </w:p>
                    </w:txbxContent>
                  </v:textbox>
                </v:rect>
                <v:rect id="Rectangle 16" o:spid="_x0000_s1028" style="position:absolute;left:11242;top:10754;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3p8QA&#10;AADbAAAADwAAAGRycy9kb3ducmV2LnhtbESPQWsCMRSE70L/Q3gFb5rVYimrUUSUevGgtlhvz83r&#10;Zmvysmyibv99UxA8DjPzDTOZtc6KKzWh8qxg0M9AEBdeV1wq+Nivem8gQkTWaD2Tgl8KMJs+dSaY&#10;a3/jLV13sRQJwiFHBSbGOpcyFIYchr6viZP37RuHMcmmlLrBW4I7K4dZ9iodVpwWDNa0MFScdxen&#10;4N0eDrz5scftaRFouTmtzubrU6nuczsfg4jUxkf43l5rBaMX+P+Sfo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i96fEAAAA2wAAAA8AAAAAAAAAAAAAAAAAmAIAAGRycy9k&#10;b3ducmV2LnhtbFBLBQYAAAAABAAEAPUAAACJAwAAAAA=&#10;" fillcolor="#e3e6cc" strokecolor="#555f00" insetpen="t">
                  <v:shadow color="#e7dec9"/>
                  <v:textbox inset="2.88pt,2.88pt,2.88pt,2.88pt">
                    <w:txbxContent>
                      <w:p w:rsidR="00FC084B" w:rsidRDefault="00FC084B" w:rsidP="006B22CC">
                        <w:pPr>
                          <w:widowControl w:val="0"/>
                          <w:jc w:val="center"/>
                          <w:rPr>
                            <w:sz w:val="14"/>
                            <w:szCs w:val="14"/>
                          </w:rPr>
                        </w:pPr>
                        <w:r>
                          <w:rPr>
                            <w:sz w:val="14"/>
                            <w:szCs w:val="14"/>
                          </w:rPr>
                          <w:t xml:space="preserve">Direktora vietnieks </w:t>
                        </w:r>
                      </w:p>
                    </w:txbxContent>
                  </v:textbox>
                </v:rect>
                <v:shapetype id="_x0000_t32" coordsize="21600,21600" o:spt="32" o:oned="t" path="m,l21600,21600e" filled="f">
                  <v:path arrowok="t" fillok="f" o:connecttype="none"/>
                  <o:lock v:ext="edit" shapetype="t"/>
                </v:shapetype>
                <v:shape id="AutoShape 17" o:spid="_x0000_s1029" type="#_x0000_t32" style="position:absolute;left:11096;top:10939;width: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SKcUAAADbAAAADwAAAGRycy9kb3ducmV2LnhtbESPX0sDMRDE3wW/Q1ihL2Jz1v9n01IE&#10;aftQoa34vFzWy+llcyRr7/rtG0HwcZiZ3zDT+eBbdaCYmsAGrscFKOIq2IZrA+/716tHUEmQLbaB&#10;ycCREsxn52dTLG3oeUuHndQqQziVaMCJdKXWqXLkMY1DR5y9zxA9Spax1jZin+G+1ZOiuNceG84L&#10;Djt6cVR97368gWV/GW8Wa/fQvcWnflPIl2w/9saMLobFMyihQf7Df+2VNXB3C79f8g/Qsx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sSKcUAAADbAAAADwAAAAAAAAAA&#10;AAAAAAChAgAAZHJzL2Rvd25yZXYueG1sUEsFBgAAAAAEAAQA+QAAAJMDAAAAAA==&#10;" strokecolor="#555f00" strokeweight=".5pt">
                  <v:stroke endarrow="block" endarrowwidth="narrow" endarrowlength="short"/>
                  <v:shadow color="#e7dec9"/>
                </v:shape>
                <v:rect id="Rectangle 18" o:spid="_x0000_s1030" style="position:absolute;left:11037;top:10899;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cMA&#10;AADbAAAADwAAAGRycy9kb3ducmV2LnhtbESPQWvCQBSE70L/w/IKvelGIVZSVykFIbeiFmlvj+xr&#10;NiT7Nuyumvx7VxA8DjPzDbPeDrYTF/KhcaxgPstAEFdON1wr+DnupisQISJr7ByTgpECbDcvkzUW&#10;2l15T5dDrEWCcChQgYmxL6QMlSGLYeZ64uT9O28xJulrqT1eE9x2cpFlS2mx4bRgsKcvQ1V7OFsF&#10;q/lo/Fj+5ovvvXOnv/d2eSxbpd5eh88PEJGG+Aw/2qVWkOdw/5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y+c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Augu aizsardzības departaments</w:t>
                        </w:r>
                      </w:p>
                    </w:txbxContent>
                  </v:textbox>
                </v:rect>
                <v:rect id="Rectangle 19" o:spid="_x0000_s1031" style="position:absolute;left:11053;top:10948;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sjsMA&#10;AADbAAAADwAAAGRycy9kb3ducmV2LnhtbESPQWvCQBSE70L/w/IKvelGwVRSVykFIbeiFmlvj+xr&#10;NiT7Nuyumvx7VxA8DjPzDbPeDrYTF/KhcaxgPstAEFdON1wr+DnupisQISJr7ByTgpECbDcvkzUW&#10;2l15T5dDrEWCcChQgYmxL6QMlSGLYeZ64uT9O28xJulrqT1eE9x2cpFlubTYcFow2NOXoao9nK2C&#10;1Xw0fix/l4vvvXOnv/c2P5atUm+vw+cHiEhDfIYf7VIrWOZw/5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Esjs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4"/>
                            <w:szCs w:val="14"/>
                          </w:rPr>
                        </w:pPr>
                        <w:r>
                          <w:rPr>
                            <w:sz w:val="12"/>
                            <w:szCs w:val="12"/>
                          </w:rPr>
                          <w:t>Integrētā augu</w:t>
                        </w:r>
                        <w:proofErr w:type="gramStart"/>
                        <w:r>
                          <w:rPr>
                            <w:sz w:val="12"/>
                            <w:szCs w:val="12"/>
                          </w:rPr>
                          <w:t xml:space="preserve">      </w:t>
                        </w:r>
                        <w:proofErr w:type="gramEnd"/>
                        <w:r>
                          <w:rPr>
                            <w:sz w:val="12"/>
                            <w:szCs w:val="12"/>
                          </w:rPr>
                          <w:t>aizsardzības daļa</w:t>
                        </w:r>
                      </w:p>
                    </w:txbxContent>
                  </v:textbox>
                </v:rect>
                <v:rect id="Rectangle 20" o:spid="_x0000_s1032" style="position:absolute;left:11143;top:10948;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2JFcMA&#10;AADbAAAADwAAAGRycy9kb3ducmV2LnhtbESPS2vDMBCE74X8B7GB3ho5gTxwo4RQKPhW8iCkt8Xa&#10;WMbWykhqYv/7KhDIcZiZb5j1tretuJEPtWMF00kGgrh0uuZKwen4/bECESKyxtYxKRgowHYzeltj&#10;rt2d93Q7xEokCIccFZgYu1zKUBqyGCauI07e1XmLMUlfSe3xnuC2lbMsW0iLNacFgx19GSqbw59V&#10;sJoOxg/FZT772Tt3/l02i2PRKPU+7nefICL18RV+tgutYL6Ex5f0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2JFc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4"/>
                            <w:szCs w:val="14"/>
                          </w:rPr>
                        </w:pPr>
                        <w:r>
                          <w:rPr>
                            <w:sz w:val="12"/>
                            <w:szCs w:val="12"/>
                          </w:rPr>
                          <w:t>AAL reģistrācijas daļa</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33" type="#_x0000_t34" style="position:absolute;left:11174;top:10840;width:15;height:20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7s8IAAADbAAAADwAAAGRycy9kb3ducmV2LnhtbERPPWvDMBDdC/kP4gJZSiPXYFOcKCGk&#10;MWRoh7ol88W62qbSyViK7fz7aih0fLzv7X62Row0+M6xgud1AoK4drrjRsHXZ/n0AsIHZI3GMSm4&#10;k4f9bvGwxUK7iT9orEIjYgj7AhW0IfSFlL5uyaJfu544ct9usBgiHBqpB5xiuDUyTZJcWuw4NrTY&#10;07Gl+qe6WQXXsjldJlPR42WqT69v72WepUap1XI+bEAEmsO/+M991gqyODZ+iT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v/7s8IAAADbAAAADwAAAAAAAAAAAAAA&#10;AAChAgAAZHJzL2Rvd25yZXYueG1sUEsFBgAAAAAEAAQA+QAAAJADAAAAAA==&#10;" adj="8146" strokecolor="#555f00" strokeweight=".5pt">
                  <v:stroke endarrow="block" endarrowwidth="narrow" endarrowlength="short"/>
                  <v:shadow color="#e7dec9"/>
                </v:shape>
                <v:rect id="Rectangle 22" o:spid="_x0000_s1034" style="position:absolute;left:11238;top:10948;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MMA&#10;AADbAAAADwAAAGRycy9kb3ducmV2LnhtbESPS2vDMBCE74X+B7GF3ho5gbycKKEUCr6FPAjtbbG2&#10;lrG1MpKa2P8+CgRyHGbmG2a97W0rLuRD7VjBeJSBIC6drrlScDp+fyxAhIissXVMCgYKsN28vqwx&#10;1+7Ke7ocYiUShEOOCkyMXS5lKA1ZDCPXESfvz3mLMUlfSe3xmuC2lZMsm0mLNacFgx19GSqbw79V&#10;sBgPxg/Fz3Sy2zt3/p03s2PRKPX+1n+uQETq4zP8aBdawXQJ9y/p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4/M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Vides un</w:t>
                        </w:r>
                        <w:proofErr w:type="gramStart"/>
                        <w:r>
                          <w:rPr>
                            <w:sz w:val="12"/>
                            <w:szCs w:val="12"/>
                          </w:rPr>
                          <w:t xml:space="preserve">                         </w:t>
                        </w:r>
                        <w:proofErr w:type="spellStart"/>
                        <w:proofErr w:type="gramEnd"/>
                        <w:r>
                          <w:rPr>
                            <w:sz w:val="12"/>
                            <w:szCs w:val="12"/>
                          </w:rPr>
                          <w:t>ekotoksikoloģijas</w:t>
                        </w:r>
                        <w:proofErr w:type="spellEnd"/>
                        <w:r>
                          <w:rPr>
                            <w:sz w:val="12"/>
                            <w:szCs w:val="12"/>
                          </w:rPr>
                          <w:t xml:space="preserve"> daļa</w:t>
                        </w:r>
                      </w:p>
                    </w:txbxContent>
                  </v:textbox>
                </v:rect>
                <v:shape id="AutoShape 23" o:spid="_x0000_s1035" type="#_x0000_t32" style="position:absolute;left:11024;top:10916;width: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zel8IAAADbAAAADwAAAGRycy9kb3ducmV2LnhtbERPS0sDMRC+C/6HMIIXsVkVqt02LUUQ&#10;7UGhD3oeNtPN1s1kScbu9t83h4LHj+89Wwy+VSeKqQls4GlUgCKugm24NrDbfjy+gUqCbLENTAbO&#10;lGAxv72ZYWlDz2s6baRWOYRTiQacSFdqnSpHHtModMSZO4ToUTKMtbYR+xzuW/1cFGPtseHc4LCj&#10;d0fV7+bPG/jsH+LLcuVeu5846b8LOcp6vzXm/m5YTkEJDfIvvrq/rIFxXp+/5B+g5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zel8IAAADbAAAADwAAAAAAAAAAAAAA&#10;AAChAgAAZHJzL2Rvd25yZXYueG1sUEsFBgAAAAAEAAQA+QAAAJADAAAAAA==&#10;" strokecolor="#555f00" strokeweight=".5pt">
                  <v:stroke endarrow="block" endarrowwidth="narrow" endarrowlength="short"/>
                  <v:shadow color="#e7dec9"/>
                </v:shape>
                <v:rect id="Rectangle 24" o:spid="_x0000_s1036" style="position:absolute;left:11037;top:10990;width:88;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R+R8MA&#10;AADbAAAADwAAAGRycy9kb3ducmV2LnhtbESPwWrDMBBE74H+g9hCb4nsQF3jRgmlUPCtJCkhvS3W&#10;1jK2VkZSE/vvq0Igx2Fm3jCb3WQHcSEfOscK8lUGgrhxuuNWwdfxY1mCCBFZ4+CYFMwUYLd9WGyw&#10;0u7Ke7ocYisShEOFCkyMYyVlaAxZDCs3Eifvx3mLMUnfSu3xmuB2kOssK6TFjtOCwZHeDTX94dcq&#10;KPPZ+Lk+P68/986dvl/64lj3Sj09Tm+vICJN8R6+tWutoMjh/0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R+R8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Augu karantīnas</w:t>
                        </w:r>
                        <w:proofErr w:type="gramStart"/>
                        <w:r>
                          <w:rPr>
                            <w:sz w:val="12"/>
                            <w:szCs w:val="12"/>
                          </w:rPr>
                          <w:t xml:space="preserve">    </w:t>
                        </w:r>
                        <w:proofErr w:type="gramEnd"/>
                        <w:r>
                          <w:rPr>
                            <w:sz w:val="12"/>
                            <w:szCs w:val="12"/>
                          </w:rPr>
                          <w:t>departaments</w:t>
                        </w:r>
                      </w:p>
                    </w:txbxContent>
                  </v:textbox>
                </v:rect>
                <v:rect id="Rectangle 25" o:spid="_x0000_s1037" style="position:absolute;left:11053;top:11038;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gMMMA&#10;AADbAAAADwAAAGRycy9kb3ducmV2LnhtbESPwWrDMBBE74H+g9hCb4kcQ13jRgmlUPCtJCkhvS3W&#10;1jK2VkZSE/vvq0Igx2Fm3jCb3WQHcSEfOscK1qsMBHHjdMetgq/jx7IEESKyxsExKZgpwG77sNhg&#10;pd2V93Q5xFYkCIcKFZgYx0rK0BiyGFZuJE7ej/MWY5K+ldrjNcHtIPMsK6TFjtOCwZHeDTX94dcq&#10;KNez8XN9fs4/986dvl/64lj3Sj09Tm+vICJN8R6+tWutoMjh/0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bgMM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4"/>
                            <w:szCs w:val="14"/>
                          </w:rPr>
                        </w:pPr>
                        <w:r>
                          <w:rPr>
                            <w:sz w:val="12"/>
                            <w:szCs w:val="12"/>
                          </w:rPr>
                          <w:t>Fitosanitārās uzraudzības daļa</w:t>
                        </w:r>
                      </w:p>
                    </w:txbxContent>
                  </v:textbox>
                </v:rect>
                <v:rect id="Rectangle 26" o:spid="_x0000_s1038" style="position:absolute;left:11143;top:11038;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Fq8QA&#10;AADbAAAADwAAAGRycy9kb3ducmV2LnhtbESPzWrDMBCE74W+g9hCb42clLjBjRJKIeBbyA+lvS3W&#10;1jK2VkZSEvvto0Agx2FmvmGW68F24kw+NI4VTCcZCOLK6YZrBcfD5m0BIkRkjZ1jUjBSgPXq+WmJ&#10;hXYX3tF5H2uRIBwKVGBi7AspQ2XIYpi4njh5/85bjEn6WmqPlwS3nZxlWS4tNpwWDPb0bahq9yer&#10;YDEdjR/L3/lsu3Pu5++jzQ9lq9Try/D1CSLSEB/he7vUCvJ3uH1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6RavEAAAA2wAAAA8AAAAAAAAAAAAAAAAAmAIAAGRycy9k&#10;b3ducmV2LnhtbFBLBQYAAAAABAAEAPUAAACJAwAAAAA=&#10;" fillcolor="#fff1ce" strokecolor="#555f00" insetpen="t">
                  <v:shadow color="#e7dec9"/>
                  <v:textbox inset="2.88pt,2.88pt,2.88pt,2.88pt">
                    <w:txbxContent>
                      <w:p w:rsidR="00FC084B" w:rsidRDefault="00FC084B" w:rsidP="006B22CC">
                        <w:pPr>
                          <w:widowControl w:val="0"/>
                          <w:rPr>
                            <w:sz w:val="10"/>
                            <w:szCs w:val="10"/>
                          </w:rPr>
                        </w:pPr>
                        <w:r>
                          <w:rPr>
                            <w:sz w:val="10"/>
                            <w:szCs w:val="10"/>
                          </w:rPr>
                          <w:t>Kaitīgo organismu</w:t>
                        </w:r>
                        <w:proofErr w:type="gramStart"/>
                        <w:r>
                          <w:rPr>
                            <w:sz w:val="10"/>
                            <w:szCs w:val="10"/>
                          </w:rPr>
                          <w:t xml:space="preserve">       </w:t>
                        </w:r>
                        <w:proofErr w:type="gramEnd"/>
                        <w:r>
                          <w:rPr>
                            <w:sz w:val="10"/>
                            <w:szCs w:val="10"/>
                          </w:rPr>
                          <w:t>ierobežošanas darba grupa</w:t>
                        </w:r>
                      </w:p>
                    </w:txbxContent>
                  </v:textbox>
                </v:rect>
                <v:rect id="Rectangle 27" o:spid="_x0000_s1039" style="position:absolute;left:11238;top:11038;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WFMQA&#10;AADbAAAADwAAAGRycy9kb3ducmV2LnhtbESPzWrDMBCE74W+g9hCb42cQJ3UjRJKIeBbyA+lvS3W&#10;1jK2VkZSEvvto0Agx2FmvmGW68F24kw+NI4VTCcZCOLK6YZrBcfD5m0BIkRkjZ1jUjBSgPXq+WmJ&#10;hXYX3tF5H2uRIBwKVGBi7AspQ2XIYpi4njh5/85bjEn6WmqPlwS3nZxlWS4tNpwWDPb0bahq9yer&#10;YDEdjR/L3/fZdufcz9+8zQ9lq9Try/D1CSLSEB/he7vUCj5yuH1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lhTEAAAA2wAAAA8AAAAAAAAAAAAAAAAAmAIAAGRycy9k&#10;b3ducmV2LnhtbFBLBQYAAAAABAAEAPUAAACJAwAAAAA=&#10;" fillcolor="#fff1ce" strokecolor="#555f00" insetpen="t">
                  <v:shadow color="#e7dec9"/>
                  <v:textbox inset="2.88pt,2.88pt,2.88pt,2.88pt">
                    <w:txbxContent>
                      <w:p w:rsidR="00FC084B" w:rsidRDefault="00FC084B" w:rsidP="006B22CC">
                        <w:pPr>
                          <w:widowControl w:val="0"/>
                          <w:rPr>
                            <w:sz w:val="12"/>
                            <w:szCs w:val="12"/>
                          </w:rPr>
                        </w:pPr>
                        <w:r>
                          <w:rPr>
                            <w:sz w:val="12"/>
                            <w:szCs w:val="12"/>
                          </w:rPr>
                          <w:t>Nacionālā fitosanitārā laboratorija</w:t>
                        </w:r>
                      </w:p>
                    </w:txbxContent>
                  </v:textbox>
                </v:rect>
                <v:rect id="Rectangle 28" o:spid="_x0000_s1040" style="position:absolute;left:11037;top:11080;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Qzj8MA&#10;AADbAAAADwAAAGRycy9kb3ducmV2LnhtbESPS2vDMBCE74X+B7GF3Bo5gbycKKEUAr6FPAjtbbG2&#10;lrG1MpKa2P8+ChR6HGbmG2az620rbuRD7VjBZJyBIC6drrlScDnv35cgQkTW2DomBQMF2G1fXzaY&#10;a3fnI91OsRIJwiFHBSbGLpcylIYshrHriJP347zFmKSvpPZ4T3DbymmWzaXFmtOCwY4+DZXN6dcq&#10;WE4G44fiazY9HJ27fi+a+blolBq99R9rEJH6+B/+axdawWoBzy/p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Qzj8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Agroķīmijas</w:t>
                        </w:r>
                        <w:proofErr w:type="gramStart"/>
                        <w:r>
                          <w:rPr>
                            <w:sz w:val="12"/>
                            <w:szCs w:val="12"/>
                          </w:rPr>
                          <w:t xml:space="preserve">            </w:t>
                        </w:r>
                        <w:proofErr w:type="gramEnd"/>
                        <w:r>
                          <w:rPr>
                            <w:sz w:val="12"/>
                            <w:szCs w:val="12"/>
                          </w:rPr>
                          <w:t>departaments</w:t>
                        </w:r>
                      </w:p>
                    </w:txbxContent>
                  </v:textbox>
                </v:rect>
                <v:rect id="Rectangle 29" o:spid="_x0000_s1041" style="position:absolute;left:11053;top:11130;width:87;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n/cAA&#10;AADbAAAADwAAAGRycy9kb3ducmV2LnhtbERPy4rCMBTdC/5DuMLsNFXQcTpGkQGhu8EHortLc21K&#10;m5uSZLT9+8liYJaH897setuKJ/lQO1Ywn2UgiEuna64UXM6H6RpEiMgaW8ekYKAAu+14tMFcuxcf&#10;6XmKlUghHHJUYGLscilDachimLmOOHEP5y3GBH0ltcdXCretXGTZSlqsOTUY7OjLUNmcfqyC9Xww&#10;fihuy8X30bnr/b1ZnYtGqbdJv/8EEamP/+I/d6EVfKSx6Uv6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un/cAAAADbAAAADwAAAAAAAAAAAAAAAACYAgAAZHJzL2Rvd25y&#10;ZXYueG1sUEsFBgAAAAAEAAQA9QAAAIU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Augšņu agroķīmiskās izpētes daļa</w:t>
                        </w:r>
                      </w:p>
                    </w:txbxContent>
                  </v:textbox>
                </v:rect>
                <v:rect id="Rectangle 30" o:spid="_x0000_s1042" style="position:absolute;left:11143;top:11130;width:87;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CZsQA&#10;AADbAAAADwAAAGRycy9kb3ducmV2LnhtbESPwWrDMBBE74H+g9hCb4mcQNPEiWxKoeBbSVJKe1us&#10;jWVsrYykJvbfV4FAj8PMvGH25Wh7cSEfWscKlosMBHHtdMuNgs/T+3wDIkRkjb1jUjBRgLJ4mO0x&#10;1+7KB7ocYyMShEOOCkyMQy5lqA1ZDAs3ECfv7LzFmKRvpPZ4TXDby1WWraXFltOCwYHeDNXd8dcq&#10;2Cwn46fq+3n1cXDu6+elW5+qTqmnx/F1ByLSGP/D93alFWy3cPuSfo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HAmbEAAAA2wAAAA8AAAAAAAAAAAAAAAAAmAIAAGRycy9k&#10;b3ducmV2LnhtbFBLBQYAAAAABAAEAPUAAACJAwAAAAA=&#10;" fillcolor="#fff1ce" strokecolor="#555f00" insetpen="t">
                  <v:shadow color="#e7dec9"/>
                  <v:textbox inset="2.88pt,2.88pt,2.88pt,2.88pt">
                    <w:txbxContent>
                      <w:p w:rsidR="00FC084B" w:rsidRDefault="00FC084B" w:rsidP="006B22CC">
                        <w:pPr>
                          <w:widowControl w:val="0"/>
                          <w:rPr>
                            <w:sz w:val="14"/>
                            <w:szCs w:val="14"/>
                          </w:rPr>
                        </w:pPr>
                        <w:r>
                          <w:rPr>
                            <w:sz w:val="12"/>
                            <w:szCs w:val="12"/>
                          </w:rPr>
                          <w:t>Agroķīmijas laboratorija</w:t>
                        </w:r>
                      </w:p>
                    </w:txbxContent>
                  </v:textbox>
                </v:rect>
                <v:shape id="AutoShape 31" o:spid="_x0000_s1043" type="#_x0000_t32" style="position:absolute;left:11096;top:11030;width: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8j8UAAADcAAAADwAAAGRycy9kb3ducmV2LnhtbESPQUsDMRCF70L/Q5iCF7GJCrZdm5Yi&#10;iHqw0FZ6HjbjZnUzWZLYXf+9cxC8zfDevPfNajOGTp0p5TayhZuZAUVcR9dyY+H9+HS9AJULssMu&#10;Mln4oQyb9eRihZWLA+/pfCiNkhDOFVrwpfSV1rn2FDDPYk8s2kdMAYusqdEu4SDhodO3xtzrgC1L&#10;g8eeHj3VX4fvYOF5uEp321c/73dpObyZ8ln2p6O1l9Nx+wCq0Fj+zX/XL07wjeDLMzKB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8j8UAAADcAAAADwAAAAAAAAAA&#10;AAAAAAChAgAAZHJzL2Rvd25yZXYueG1sUEsFBgAAAAAEAAQA+QAAAJMDAAAAAA==&#10;" strokecolor="#555f00" strokeweight=".5pt">
                  <v:stroke endarrow="block" endarrowwidth="narrow" endarrowlength="short"/>
                  <v:shadow color="#e7dec9"/>
                </v:shape>
                <v:shape id="AutoShape 32" o:spid="_x0000_s1044" type="#_x0000_t32" style="position:absolute;left:11187;top:11029;width: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ZFMIAAADcAAAADwAAAGRycy9kb3ducmV2LnhtbERPTUsDMRC9C/6HMIIXsUkVbF2bllIo&#10;6sFCW/E8bMbN6mayJGN3/fdGELzN433OYjWGTp0o5TayhenEgCKuo2u5sfB63F7PQWVBdthFJgvf&#10;lGG1PD9bYOXiwHs6HaRRJYRzhRa8SF9pnWtPAfMk9sSFe48poBSYGu0SDiU8dPrGmDsdsOXS4LGn&#10;jaf68/AVLDwOV+l2/exn/S7dDy9GPmT/drT28mJcP4ASGuVf/Od+cmW+mcLvM+UCv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ZFMIAAADcAAAADwAAAAAAAAAAAAAA&#10;AAChAgAAZHJzL2Rvd25yZXYueG1sUEsFBgAAAAAEAAQA+QAAAJADAAAAAA==&#10;" strokecolor="#555f00" strokeweight=".5pt">
                  <v:stroke endarrow="block" endarrowwidth="narrow" endarrowlength="short"/>
                  <v:shadow color="#e7dec9"/>
                </v:shape>
                <v:shape id="AutoShape 33" o:spid="_x0000_s1045" type="#_x0000_t32" style="position:absolute;left:11096;top:11120;width: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GHY8IAAADcAAAADwAAAGRycy9kb3ducmV2LnhtbERPTUsDMRC9C/6HMIIXsUkr2Lo2LaUg&#10;6sFCW/E8bMbN6mayJGN3/fdGELzN433Ocj2GTp0o5TayhenEgCKuo2u5sfB6fLhegMqC7LCLTBa+&#10;KcN6dX62xMrFgfd0OkijSgjnCi14kb7SOteeAuZJ7IkL9x5TQCkwNdolHEp46PTMmFsdsOXS4LGn&#10;raf68/AVLDwOV+lm8+zn/S7dDS9GPmT/drT28mLc3IMSGuVf/Od+cmW+mcHvM+UCv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GHY8IAAADcAAAADwAAAAAAAAAAAAAA&#10;AAChAgAAZHJzL2Rvd25yZXYueG1sUEsFBgAAAAAEAAQA+QAAAJADAAAAAA==&#10;" strokecolor="#555f00" strokeweight=".5pt">
                  <v:stroke endarrow="block" endarrowwidth="narrow" endarrowlength="short"/>
                  <v:shadow color="#e7dec9"/>
                </v:shape>
                <v:shape id="AutoShape 34" o:spid="_x0000_s1046" type="#_x0000_t34" style="position:absolute;left:11126;top:11069;width:16;height:10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SBFsEAAADcAAAADwAAAGRycy9kb3ducmV2LnhtbERPy6rCMBDdX/AfwghuLpqqcJFqFBEE&#10;cedjobuxGdtqM6lNrNWvN4Jwd3M4z5nMGlOImiqXW1bQ70UgiBOrc04V7HfL7giE88gaC8uk4EkO&#10;ZtPWzwRjbR+8oXrrUxFC2MWoIPO+jKV0SUYGXc+WxIE728qgD7BKpa7wEcJNIQdR9CcN5hwaMixp&#10;kVFy3d6NguVqcWoON/PS+lfO1/WxfzHPQqlOu5mPQXhq/L/4617pMD8awueZcIG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VIEWwQAAANwAAAAPAAAAAAAAAAAAAAAA&#10;AKECAABkcnMvZG93bnJldi54bWxQSwUGAAAAAAQABAD5AAAAjwMAAAAA&#10;" adj="6879" strokecolor="#555f00" strokeweight=".5pt">
                  <v:stroke endarrow="block" endarrowwidth="narrow" endarrowlength="short"/>
                  <v:shadow color="#e7dec9"/>
                </v:shape>
                <v:rect id="Rectangle 35" o:spid="_x0000_s1047" style="position:absolute;left:11037;top:11174;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qcIA&#10;AADcAAAADwAAAGRycy9kb3ducmV2LnhtbERPS2vCQBC+F/wPywi91Y1Co6SuIoVCbsUHYm9DdsyG&#10;ZGfD7laTf+8Khd7m43vOejvYTtzIh8axgvksA0FcOd1wreB0/HpbgQgRWWPnmBSMFGC7mbyssdDu&#10;znu6HWItUgiHAhWYGPtCylAZshhmridO3NV5izFBX0vt8Z7CbScXWZZLiw2nBoM9fRqq2sOvVbCa&#10;j8aP5eV98b137vyzbPNj2Sr1Oh12HyAiDfFf/OcudZqf5fB8Jl0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38apwgAAANwAAAAPAAAAAAAAAAAAAAAAAJgCAABkcnMvZG93&#10;bnJldi54bWxQSwUGAAAAAAQABAD1AAAAhwMAAAAA&#10;" fillcolor="#fff1ce" strokecolor="#555f00" insetpen="t">
                  <v:shadow color="#e7dec9"/>
                  <v:textbox inset="2.88pt,2.88pt,2.88pt,2.88pt">
                    <w:txbxContent>
                      <w:p w:rsidR="00FC084B" w:rsidRDefault="00FC084B" w:rsidP="006B22CC">
                        <w:pPr>
                          <w:widowControl w:val="0"/>
                          <w:rPr>
                            <w:sz w:val="12"/>
                            <w:szCs w:val="12"/>
                          </w:rPr>
                        </w:pPr>
                        <w:r>
                          <w:rPr>
                            <w:sz w:val="12"/>
                            <w:szCs w:val="12"/>
                          </w:rPr>
                          <w:t>Sēklu kontroles</w:t>
                        </w:r>
                        <w:proofErr w:type="gramStart"/>
                        <w:r>
                          <w:rPr>
                            <w:sz w:val="12"/>
                            <w:szCs w:val="12"/>
                          </w:rPr>
                          <w:t xml:space="preserve">     </w:t>
                        </w:r>
                        <w:proofErr w:type="gramEnd"/>
                        <w:r>
                          <w:rPr>
                            <w:sz w:val="12"/>
                            <w:szCs w:val="12"/>
                          </w:rPr>
                          <w:t>departaments</w:t>
                        </w:r>
                      </w:p>
                    </w:txbxContent>
                  </v:textbox>
                </v:rect>
                <v:rect id="Rectangle 36" o:spid="_x0000_s1048" style="position:absolute;left:11053;top:11223;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NjMsIA&#10;AADcAAAADwAAAGRycy9kb3ducmV2LnhtbERPTWvDMAy9D/YfjAq7rU4La0NWJ5RBIbfRdpTtJmIt&#10;DonlYLtt8u/nwWA3Pd6ndtVkB3EjHzrHClbLDARx43THrYKP8+E5BxEissbBMSmYKUBVPj7ssNDu&#10;zke6nWIrUgiHAhWYGMdCytAYshiWbiRO3LfzFmOCvpXa4z2F20Gus2wjLXacGgyO9Gao6U9XqyBf&#10;zcbP9efL+v3o3OVr22/Oda/U02Lav4KINMV/8Z+71ml+toXfZ9IF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2MywgAAANwAAAAPAAAAAAAAAAAAAAAAAJgCAABkcnMvZG93&#10;bnJldi54bWxQSwUGAAAAAAQABAD1AAAAhwMAAAAA&#10;" fillcolor="#fff1ce" strokecolor="#555f00" insetpen="t">
                  <v:shadow color="#e7dec9"/>
                  <v:textbox inset="2.88pt,2.88pt,2.88pt,2.88pt">
                    <w:txbxContent>
                      <w:p w:rsidR="00FC084B" w:rsidRDefault="00FC084B" w:rsidP="006B22CC">
                        <w:pPr>
                          <w:widowControl w:val="0"/>
                          <w:rPr>
                            <w:sz w:val="12"/>
                            <w:szCs w:val="12"/>
                          </w:rPr>
                        </w:pPr>
                        <w:r>
                          <w:rPr>
                            <w:sz w:val="12"/>
                            <w:szCs w:val="12"/>
                          </w:rPr>
                          <w:t>Sēklu sertifikācijas un šķirņu aizsardzības daļa</w:t>
                        </w:r>
                      </w:p>
                    </w:txbxContent>
                  </v:textbox>
                </v:rect>
                <v:rect id="Rectangle 37" o:spid="_x0000_s1049" style="position:absolute;left:11143;top:11223;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3QMQA&#10;AADcAAAADwAAAGRycy9kb3ducmV2LnhtbESPQWvDMAyF74P+B6PBbqvTwrqS1S2jMMhttB1lu4lY&#10;i0NiOdhem/z76VDoTeI9vfdpsxt9ry4UUxvYwGJegCKug225MfB1+nheg0oZ2WIfmAxMlGC3nT1s&#10;sLThyge6HHOjJIRTiQZczkOpdaodeUzzMBCL9huixyxrbLSNeJVw3+tlUay0x5alweFAe0d1d/zz&#10;BtaLycWp+n5Zfh5COP+8dqtT1Rnz9Di+v4HKNOa7+XZdWcEvhFaekQn0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M90DEAAAA3AAAAA8AAAAAAAAAAAAAAAAAmAIAAGRycy9k&#10;b3ducmV2LnhtbFBLBQYAAAAABAAEAPUAAACJAwAAAAA=&#10;" fillcolor="#fff1ce" strokecolor="#555f00" insetpen="t">
                  <v:shadow color="#e7dec9"/>
                  <v:textbox inset="2.88pt,2.88pt,2.88pt,2.88pt">
                    <w:txbxContent>
                      <w:p w:rsidR="00FC084B" w:rsidRDefault="00FC084B" w:rsidP="006B22CC">
                        <w:pPr>
                          <w:widowControl w:val="0"/>
                          <w:rPr>
                            <w:sz w:val="12"/>
                            <w:szCs w:val="12"/>
                          </w:rPr>
                        </w:pPr>
                        <w:r>
                          <w:rPr>
                            <w:sz w:val="12"/>
                            <w:szCs w:val="12"/>
                          </w:rPr>
                          <w:t>Nacionālā sēklu</w:t>
                        </w:r>
                        <w:proofErr w:type="gramStart"/>
                        <w:r>
                          <w:rPr>
                            <w:sz w:val="12"/>
                            <w:szCs w:val="12"/>
                          </w:rPr>
                          <w:t xml:space="preserve">     </w:t>
                        </w:r>
                        <w:proofErr w:type="gramEnd"/>
                        <w:r>
                          <w:rPr>
                            <w:sz w:val="12"/>
                            <w:szCs w:val="12"/>
                          </w:rPr>
                          <w:t>kontroles laboratorija</w:t>
                        </w:r>
                      </w:p>
                    </w:txbxContent>
                  </v:textbox>
                </v:rect>
                <v:shape id="AutoShape 38" o:spid="_x0000_s1050" type="#_x0000_t32" style="position:absolute;left:11096;top:11213;width: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YqUsUAAADcAAAADwAAAGRycy9kb3ducmV2LnhtbESPS0sEQQyE74L/oYngRdyeVfAxbu+y&#10;CKIeFPbBnsN0nB6dTg/dcWf89+YgeEuoStWXxWqKvTlSLl1iB/NZBYa4Sb7j1sF+93R5B6YIssc+&#10;MTn4oQKr5enJAmufRt7QcSut0RAuNToIIkNtbWkCRSyzNBCr9pFyRNE1t9ZnHDU89vaqqm5sxI61&#10;IeBAj4Gar+13dPA8XuTr9Wu4Hd7z/fhWyadsDjvnzs+m9QMYoUn+zX/XL17x54qvz+gEd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YqUsUAAADcAAAADwAAAAAAAAAA&#10;AAAAAAChAgAAZHJzL2Rvd25yZXYueG1sUEsFBgAAAAAEAAQA+QAAAJMDAAAAAA==&#10;" strokecolor="#555f00" strokeweight=".5pt">
                  <v:stroke endarrow="block" endarrowwidth="narrow" endarrowlength="short"/>
                  <v:shadow color="#e7dec9"/>
                </v:shape>
                <v:shape id="AutoShape 39" o:spid="_x0000_s1051" type="#_x0000_t34" style="position:absolute;left:11126;top:11162;width:16;height:10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TQXcQAAADbAAAADwAAAGRycy9kb3ducmV2LnhtbESPQWvCQBSE74L/YXlCL6KbiBWJrqEU&#10;Cj30Yqr3x+4ziWbfxuw2if313UKhx2FmvmH2+Wgb0VPna8cK0mUCglg7U3Op4PT5ttiC8AHZYOOY&#10;FDzIQ36YTvaYGTfwkfoilCJC2GeooAqhzaT0uiKLfula4uhdXGcxRNmV0nQ4RLht5CpJNtJizXGh&#10;wpZeK9K34ssquD/mw3n4/litx/PxWj/7VKdFqtTTbHzZgQg0hv/wX/vdKNis4fdL/AHy8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xNBdxAAAANsAAAAPAAAAAAAAAAAA&#10;AAAAAKECAABkcnMvZG93bnJldi54bWxQSwUGAAAAAAQABAD5AAAAkgMAAAAA&#10;" strokecolor="#555f00" strokeweight=".5pt">
                  <v:stroke endarrow="block" endarrowwidth="narrow" endarrowlength="short"/>
                  <v:shadow color="#e7dec9"/>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40" o:spid="_x0000_s1052" type="#_x0000_t35" style="position:absolute;left:10790;top:10999;width:532;height:3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VWMMAAADbAAAADwAAAGRycy9kb3ducmV2LnhtbESPT2sCMRTE7wW/Q3iCt5pdwT/dGkUs&#10;gqUnV+n5sXlNFjcvyybV1U9vCgWPw8z8hlmue9eIC3Wh9qwgH2cgiCuvazYKTsfd6wJEiMgaG8+k&#10;4EYB1qvByxIL7a98oEsZjUgQDgUqsDG2hZShsuQwjH1LnLwf3zmMSXZG6g6vCe4aOcmymXRYc1qw&#10;2NLWUnUuf52Cj89D/zXX23zhzObNfNs8u9NOqdGw37yDiNTHZ/i/vdcKZlP4+5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ZlVjDAAAA2wAAAA8AAAAAAAAAAAAA&#10;AAAAoQIAAGRycy9kb3ducmV2LnhtbFBLBQYAAAAABAAEAPkAAACRAwAAAAA=&#10;" adj="719,30659" strokecolor="#555f00">
                  <v:stroke endarrow="block" endarrowwidth="narrow" endarrowlength="short"/>
                  <v:shadow color="#e7dec9"/>
                </v:shape>
                <v:shape id="AutoShape 41" o:spid="_x0000_s1053" type="#_x0000_t32" style="position:absolute;left:11024;top:11006;width: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njeMQAAADbAAAADwAAAGRycy9kb3ducmV2LnhtbESPQUsDMRSE70L/Q3gFL2KzKmzbtWkp&#10;gqgHC22l58fmuVndvCzJs7v+eyMIHoeZ+YZZbUbfqTPF1AY2cDMrQBHXwbbcGHg7Pl4vQCVBttgF&#10;JgPflGCznlyssLJh4D2dD9KoDOFUoQEn0ldap9qRxzQLPXH23kP0KFnGRtuIQ4b7Tt8WRak9tpwX&#10;HPb04Kj+PHx5A0/DVbzbvrh5v4vL4bWQD9mfjsZcTsftPSihUf7Df+1na6As4fdL/gF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eN4xAAAANsAAAAPAAAAAAAAAAAA&#10;AAAAAKECAABkcnMvZG93bnJldi54bWxQSwUGAAAAAAQABAD5AAAAkgMAAAAA&#10;" strokecolor="#555f00" strokeweight=".5pt">
                  <v:stroke endarrow="block" endarrowwidth="narrow" endarrowlength="short"/>
                  <v:shadow color="#e7dec9"/>
                </v:shape>
                <v:shape id="AutoShape 42" o:spid="_x0000_s1054" type="#_x0000_t32" style="position:absolute;left:11024;top:11097;width:1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fmwsUAAADbAAAADwAAAGRycy9kb3ducmV2LnhtbESPQWvCQBSE74L/YXlCL1I3FqI2dRUR&#10;bD0JjUKvj+wziWbfxuxGo7++KxR6HGbmG2a+7EwlrtS40rKC8SgCQZxZXXKu4LDfvM5AOI+ssbJM&#10;Cu7kYLno9+aYaHvjb7qmPhcBwi5BBYX3dSKlywoy6Ea2Jg7e0TYGfZBNLnWDtwA3lXyLook0WHJY&#10;KLCmdUHZOW2NAvc5/Po5tnH82MSn99nlsFul551SL4Nu9QHCU+f/w3/trVYwmcLzS/g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fmwsUAAADbAAAADwAAAAAAAAAA&#10;AAAAAAChAgAAZHJzL2Rvd25yZXYueG1sUEsFBgAAAAAEAAQA+QAAAJMDAAAAAA==&#10;" strokecolor="#555f00" strokeweight=".5pt">
                  <v:stroke endarrow="block" endarrowwidth="narrow" endarrowlength="short"/>
                  <v:shadow color="#e7dec9"/>
                </v:shape>
                <v:shape id="AutoShape 43" o:spid="_x0000_s1055" type="#_x0000_t32" style="position:absolute;left:11024;top:11192;width: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rSkcIAAADbAAAADwAAAGRycy9kb3ducmV2LnhtbERPS0sDMRC+C/6HMIIXsVkVqt02LUUQ&#10;7UGhD3oeNtPN1s1kScbu9t83h4LHj+89Wwy+VSeKqQls4GlUgCKugm24NrDbfjy+gUqCbLENTAbO&#10;lGAxv72ZYWlDz2s6baRWOYRTiQacSFdqnSpHHtModMSZO4ToUTKMtbYR+xzuW/1cFGPtseHc4LCj&#10;d0fV7+bPG/jsH+LLcuVeu5846b8LOcp6vzXm/m5YTkEJDfIvvrq/rIFxHpu/5B+g5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rSkcIAAADbAAAADwAAAAAAAAAAAAAA&#10;AAChAgAAZHJzL2Rvd25yZXYueG1sUEsFBgAAAAAEAAQA+QAAAJADAAAAAA==&#10;" strokecolor="#555f00" strokeweight=".5pt">
                  <v:stroke endarrow="block" endarrowwidth="narrow" endarrowlength="short"/>
                  <v:shadow color="#e7dec9"/>
                </v:shape>
                <v:rect id="Rectangle 44" o:spid="_x0000_s1056" style="position:absolute;left:11238;top:11095;width:88;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K8MQA&#10;AADbAAAADwAAAGRycy9kb3ducmV2LnhtbESPQWsCMRSE7wX/Q3iCt5rVg7SrUUSU9uJBq6i35+a5&#10;WU1elk3U7b9vCoUeh5n5hpnMWmfFg5pQeVYw6GcgiAuvKy4V7L5Wr28gQkTWaD2Tgm8KMJt2XiaY&#10;a//kDT22sRQJwiFHBSbGOpcyFIYchr6viZN38Y3DmGRTSt3gM8GdlcMsG0mHFacFgzUtDBW37d0p&#10;+LCHA6+v9rQ5LwIt1+fVzRz3SvW67XwMIlIb/8N/7U+tYPQOv1/SD5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CvDEAAAA2wAAAA8AAAAAAAAAAAAAAAAAmAIAAGRycy9k&#10;b3ducmV2LnhtbFBLBQYAAAAABAAEAPUAAACJAwAAAAA=&#10;" fillcolor="#e3e6cc" strokecolor="#555f00" insetpen="t">
                  <v:shadow color="#e7dec9"/>
                  <v:textbox inset="2.88pt,2.88pt,2.88pt,2.88pt">
                    <w:txbxContent>
                      <w:p w:rsidR="00FC084B" w:rsidRDefault="00FC084B" w:rsidP="006B22CC">
                        <w:pPr>
                          <w:widowControl w:val="0"/>
                          <w:jc w:val="right"/>
                          <w:rPr>
                            <w:sz w:val="12"/>
                            <w:szCs w:val="12"/>
                          </w:rPr>
                        </w:pPr>
                        <w:r>
                          <w:rPr>
                            <w:sz w:val="12"/>
                            <w:szCs w:val="12"/>
                          </w:rPr>
                          <w:t>Finanšu un uzskaites daļa</w:t>
                        </w:r>
                      </w:p>
                    </w:txbxContent>
                  </v:textbox>
                </v:rect>
                <v:rect id="Rectangle 45" o:spid="_x0000_s1057" style="position:absolute;left:11238;top:11135;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1sMEA&#10;AADbAAAADwAAAGRycy9kb3ducmV2LnhtbERPPW/CMBDdkfofrKvEBk47UBQwCKFGsDBAqSjbER9x&#10;in2OYjek/74eKjE+ve/5sndWdNSG2rOCl3EGgrj0uuZKwfGjGE1BhIis0XomBb8UYLl4Gswx1/7O&#10;e+oOsRIphEOOCkyMTS5lKA05DGPfECfu6luHMcG2krrFewp3Vr5m2UQ6rDk1GGxobai8HX6cgo09&#10;nXj3bc/7yzrQ++5S3MzXp1LD5341AxGpjw/xv3urFbyl9elL+g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NbDBAAAA2wAAAA8AAAAAAAAAAAAAAAAAmAIAAGRycy9kb3du&#10;cmV2LnhtbFBLBQYAAAAABAAEAPUAAACGAwAAAAA=&#10;" fillcolor="#e3e6cc" strokecolor="#555f00" insetpen="t">
                  <v:shadow color="#e7dec9"/>
                  <v:textbox inset="2.88pt,2.88pt,2.88pt,2.88pt">
                    <w:txbxContent>
                      <w:p w:rsidR="00FC084B" w:rsidRDefault="00FC084B" w:rsidP="006B22CC">
                        <w:pPr>
                          <w:widowControl w:val="0"/>
                          <w:jc w:val="right"/>
                          <w:rPr>
                            <w:sz w:val="12"/>
                            <w:szCs w:val="12"/>
                          </w:rPr>
                        </w:pPr>
                        <w:r>
                          <w:rPr>
                            <w:sz w:val="12"/>
                            <w:szCs w:val="12"/>
                          </w:rPr>
                          <w:t>Saimniecības daļa</w:t>
                        </w:r>
                      </w:p>
                    </w:txbxContent>
                  </v:textbox>
                </v:rect>
                <v:rect id="Rectangle 46" o:spid="_x0000_s1058" style="position:absolute;left:11238;top:11174;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K8QA&#10;AADbAAAADwAAAGRycy9kb3ducmV2LnhtbESPQWsCMRSE74X+h/AEbzWrB1tWo4hU9OJBa7Henpvn&#10;ZjV5WTZRt//eCIUeh5n5hhlPW2fFjZpQeVbQ72UgiAuvKy4V7L4Wbx8gQkTWaD2Tgl8KMJ28vowx&#10;1/7OG7ptYykShEOOCkyMdS5lKAw5DD1fEyfv5BuHMcmmlLrBe4I7KwdZNpQOK04LBmuaGyou26tT&#10;sLT7Pa/P9rA5zgN9ro+Li/n5VqrbaWcjEJHa+B/+a6+0gvc+PL+kH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JkCvEAAAA2wAAAA8AAAAAAAAAAAAAAAAAmAIAAGRycy9k&#10;b3ducmV2LnhtbFBLBQYAAAAABAAEAPUAAACJAwAAAAA=&#10;" fillcolor="#e3e6cc" strokecolor="#555f00" insetpen="t">
                  <v:shadow color="#e7dec9"/>
                  <v:textbox inset="2.88pt,2.88pt,2.88pt,2.88pt">
                    <w:txbxContent>
                      <w:p w:rsidR="00FC084B" w:rsidRDefault="00FC084B" w:rsidP="006B22CC">
                        <w:pPr>
                          <w:widowControl w:val="0"/>
                          <w:jc w:val="right"/>
                          <w:rPr>
                            <w:sz w:val="12"/>
                            <w:szCs w:val="12"/>
                          </w:rPr>
                        </w:pPr>
                        <w:r>
                          <w:rPr>
                            <w:sz w:val="12"/>
                            <w:szCs w:val="12"/>
                          </w:rPr>
                          <w:t>Informācijas daļa</w:t>
                        </w:r>
                      </w:p>
                    </w:txbxContent>
                  </v:textbox>
                </v:rect>
                <v:rect id="Rectangle 47" o:spid="_x0000_s1059" style="position:absolute;left:11047;top:10816;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rJsUA&#10;AADbAAAADwAAAGRycy9kb3ducmV2LnhtbESPQWsCMRSE7wX/Q3iCl6LZemhlNYoWCi700Fov3p6b&#10;52Z187Ikqe7665tCocdhZr5hFqvONuJKPtSOFTxNMhDEpdM1Vwr2X2/jGYgQkTU2jklBTwFWy8HD&#10;AnPtbvxJ112sRIJwyFGBibHNpQylIYth4lri5J2ctxiT9JXUHm8Jbhs5zbJnabHmtGCwpVdD5WX3&#10;bRVs3rHF8142J3+534uPx8PR9oVSo2G3noOI1MX/8F97qxW8TOH3S/oB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ysmxQAAANsAAAAPAAAAAAAAAAAAAAAAAJgCAABkcnMv&#10;ZG93bnJldi54bWxQSwUGAAAAAAQABAD1AAAAigMAAAAA&#10;" fillcolor="#d3e7d8" strokecolor="#555f00" insetpen="t">
                  <v:shadow color="#e7dec9"/>
                  <v:textbox inset="2.88pt,2.88pt,2.88pt,2.88pt">
                    <w:txbxContent>
                      <w:p w:rsidR="00FC084B" w:rsidRDefault="00FC084B" w:rsidP="006B22CC">
                        <w:pPr>
                          <w:widowControl w:val="0"/>
                          <w:jc w:val="center"/>
                          <w:rPr>
                            <w:sz w:val="10"/>
                            <w:szCs w:val="10"/>
                          </w:rPr>
                        </w:pPr>
                        <w:r>
                          <w:rPr>
                            <w:sz w:val="10"/>
                            <w:szCs w:val="10"/>
                          </w:rPr>
                          <w:t xml:space="preserve">Rīgas reģionālā un vispārējās uzraudzības nodaļa </w:t>
                        </w:r>
                      </w:p>
                    </w:txbxContent>
                  </v:textbox>
                </v:rect>
                <v:rect id="Rectangle 48" o:spid="_x0000_s1060" style="position:absolute;left:11137;top:10816;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OvcQA&#10;AADbAAAADwAAAGRycy9kb3ducmV2LnhtbESPQWsCMRSE74L/ITyhF9FsFaqsRtGCoNCDVS/enpvn&#10;7urmZUlSXf31jVDocZiZb5jpvDGVuJHzpWUF7/0EBHFmdcm5gsN+1RuD8AFZY2WZFDzIw3zWbk0x&#10;1fbO33TbhVxECPsUFRQh1KmUPivIoO/bmjh6Z+sMhihdLrXDe4SbSg6S5EMaLDkuFFjTZ0HZdfdj&#10;FCy/sMbLQVZnd30+N9vu8WQeG6XeOs1iAiJQE/7Df+21VjAawut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Ljr3EAAAA2wAAAA8AAAAAAAAAAAAAAAAAmAIAAGRycy9k&#10;b3ducmV2LnhtbFBLBQYAAAAABAAEAPUAAACJAwAAAAA=&#10;" fillcolor="#d3e7d8" strokecolor="#555f00" insetpen="t">
                  <v:shadow color="#e7dec9"/>
                  <v:textbox inset="2.88pt,2.88pt,2.88pt,2.88pt">
                    <w:txbxContent>
                      <w:p w:rsidR="00FC084B" w:rsidRDefault="00FC084B" w:rsidP="006B22CC">
                        <w:pPr>
                          <w:widowControl w:val="0"/>
                          <w:jc w:val="center"/>
                          <w:rPr>
                            <w:sz w:val="12"/>
                            <w:szCs w:val="12"/>
                          </w:rPr>
                        </w:pPr>
                        <w:r>
                          <w:rPr>
                            <w:sz w:val="12"/>
                            <w:szCs w:val="12"/>
                          </w:rPr>
                          <w:t xml:space="preserve">Vidzemes reģionālā nodaļa </w:t>
                        </w:r>
                      </w:p>
                    </w:txbxContent>
                  </v:textbox>
                </v:rect>
                <v:rect id="Rectangle 49" o:spid="_x0000_s1061" style="position:absolute;left:11098;top:10852;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ycQA&#10;AADbAAAADwAAAGRycy9kb3ducmV2LnhtbESPQWsCMRSE74L/ITyhF9FsRaqsRtGCoNCDVS/enpvn&#10;7urmZUlSXf31jVDocZiZb5jpvDGVuJHzpWUF7/0EBHFmdcm5gsN+1RuD8AFZY2WZFDzIw3zWbk0x&#10;1fbO33TbhVxECPsUFRQh1KmUPivIoO/bmjh6Z+sMhihdLrXDe4SbSg6S5EMaLDkuFFjTZ0HZdfdj&#10;FCy/sMbLQVZnd30+N9vu8WQeG6XeOs1iAiJQE/7Df+21VjAawut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FsnEAAAA2wAAAA8AAAAAAAAAAAAAAAAAmAIAAGRycy9k&#10;b3ducmV2LnhtbFBLBQYAAAAABAAEAPUAAACJAwAAAAA=&#10;" fillcolor="#d3e7d8" strokecolor="#555f00" insetpen="t">
                  <v:shadow color="#e7dec9"/>
                  <v:textbox inset="2.88pt,2.88pt,2.88pt,2.88pt">
                    <w:txbxContent>
                      <w:p w:rsidR="00FC084B" w:rsidRDefault="00FC084B" w:rsidP="006B22CC">
                        <w:pPr>
                          <w:widowControl w:val="0"/>
                          <w:jc w:val="center"/>
                          <w:rPr>
                            <w:sz w:val="12"/>
                            <w:szCs w:val="12"/>
                          </w:rPr>
                        </w:pPr>
                        <w:r>
                          <w:rPr>
                            <w:sz w:val="12"/>
                            <w:szCs w:val="12"/>
                          </w:rPr>
                          <w:t xml:space="preserve">Kurzemes reģionālā nodaļa </w:t>
                        </w:r>
                      </w:p>
                    </w:txbxContent>
                  </v:textbox>
                </v:rect>
                <v:rect id="Rectangle 50" o:spid="_x0000_s1062" style="position:absolute;left:11188;top:10852;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zUsQA&#10;AADbAAAADwAAAGRycy9kb3ducmV2LnhtbESPQWsCMRSE74L/ITyhF9FsBausRtGCoNCDVS/enpvn&#10;7urmZUlSXf31jVDocZiZb5jpvDGVuJHzpWUF7/0EBHFmdcm5gsN+1RuD8AFZY2WZFDzIw3zWbk0x&#10;1fbO33TbhVxECPsUFRQh1KmUPivIoO/bmjh6Z+sMhihdLrXDe4SbSg6S5EMaLDkuFFjTZ0HZdfdj&#10;FCy/sMbLQVZnd30+N9vu8WQeG6XeOs1iAiJQE/7Df+21VjAawut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us1LEAAAA2wAAAA8AAAAAAAAAAAAAAAAAmAIAAGRycy9k&#10;b3ducmV2LnhtbFBLBQYAAAAABAAEAPUAAACJAwAAAAA=&#10;" fillcolor="#d3e7d8" strokecolor="#555f00" insetpen="t">
                  <v:shadow color="#e7dec9"/>
                  <v:textbox inset="2.88pt,2.88pt,2.88pt,2.88pt">
                    <w:txbxContent>
                      <w:p w:rsidR="00FC084B" w:rsidRDefault="00FC084B" w:rsidP="006B22CC">
                        <w:pPr>
                          <w:widowControl w:val="0"/>
                          <w:jc w:val="center"/>
                          <w:rPr>
                            <w:sz w:val="12"/>
                            <w:szCs w:val="12"/>
                          </w:rPr>
                        </w:pPr>
                        <w:r>
                          <w:rPr>
                            <w:sz w:val="12"/>
                            <w:szCs w:val="12"/>
                          </w:rPr>
                          <w:t xml:space="preserve">Latgales reģionālā nodaļa </w:t>
                        </w:r>
                      </w:p>
                    </w:txbxContent>
                  </v:textbox>
                </v:rect>
                <v:rect id="Rectangle 51" o:spid="_x0000_s1063" style="position:absolute;left:11227;top:10816;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tJcQA&#10;AADbAAAADwAAAGRycy9kb3ducmV2LnhtbESPT4vCMBTE7wt+h/CEvSyargeVahRdEBT2sP65eHs2&#10;z7bavJQkavXTbwTB4zAzv2HG08ZU4krOl5YVfHcTEMSZ1SXnCnbbRWcIwgdkjZVlUnAnD9NJ62OM&#10;qbY3XtN1E3IRIexTVFCEUKdS+qwgg75ra+LoHa0zGKJ0udQObxFuKtlLkr40WHJcKLCmn4Ky8+Zi&#10;FMx/scbTTlZHd348Vn9f+4O5r5T6bDezEYhATXiHX+2lVjDow/NL/AF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8LSXEAAAA2wAAAA8AAAAAAAAAAAAAAAAAmAIAAGRycy9k&#10;b3ducmV2LnhtbFBLBQYAAAAABAAEAPUAAACJAwAAAAA=&#10;" fillcolor="#d3e7d8" strokecolor="#555f00" insetpen="t">
                  <v:shadow color="#e7dec9"/>
                  <v:textbox inset="2.88pt,2.88pt,2.88pt,2.88pt">
                    <w:txbxContent>
                      <w:p w:rsidR="00FC084B" w:rsidRDefault="00FC084B" w:rsidP="006B22CC">
                        <w:pPr>
                          <w:widowControl w:val="0"/>
                          <w:jc w:val="center"/>
                          <w:rPr>
                            <w:sz w:val="12"/>
                            <w:szCs w:val="12"/>
                          </w:rPr>
                        </w:pPr>
                        <w:r>
                          <w:rPr>
                            <w:sz w:val="12"/>
                            <w:szCs w:val="12"/>
                          </w:rPr>
                          <w:t xml:space="preserve">Zemgales reģionālā nodaļa </w:t>
                        </w:r>
                      </w:p>
                    </w:txbxContent>
                  </v:textbox>
                </v:rect>
                <v:rect id="Rectangle 52" o:spid="_x0000_s1064" style="position:absolute;left:11138;top:10779;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IvsQA&#10;AADbAAAADwAAAGRycy9kb3ducmV2LnhtbESPT4vCMBTE74LfITxhL6LpelCpRtGFBYU9rH8u3p7N&#10;s602LyXJavXTmwXB4zAzv2Gm88ZU4krOl5YVfPYTEMSZ1SXnCva7794YhA/IGivLpOBOHuazdmuK&#10;qbY33tB1G3IRIexTVFCEUKdS+qwgg75va+LonawzGKJ0udQObxFuKjlIkqE0WHJcKLCmr4Kyy/bP&#10;KFj+YI3nvaxO7vJ4rH+7h6O5r5X66DSLCYhATXiHX+2VVjAawf+X+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wiL7EAAAA2wAAAA8AAAAAAAAAAAAAAAAAmAIAAGRycy9k&#10;b3ducmV2LnhtbFBLBQYAAAAABAAEAPUAAACJAwAAAAA=&#10;" fillcolor="#d3e7d8" strokecolor="#555f00" insetpen="t">
                  <v:shadow color="#e7dec9"/>
                  <v:textbox inset="2.88pt,2.88pt,2.88pt,2.88pt">
                    <w:txbxContent>
                      <w:p w:rsidR="00FC084B" w:rsidRDefault="00FC084B" w:rsidP="006B22CC">
                        <w:pPr>
                          <w:widowControl w:val="0"/>
                          <w:jc w:val="center"/>
                          <w:rPr>
                            <w:sz w:val="14"/>
                            <w:szCs w:val="14"/>
                          </w:rPr>
                        </w:pPr>
                        <w:r>
                          <w:rPr>
                            <w:sz w:val="14"/>
                            <w:szCs w:val="14"/>
                          </w:rPr>
                          <w:t xml:space="preserve">Direktora vietnieks </w:t>
                        </w:r>
                        <w:r>
                          <w:rPr>
                            <w:sz w:val="12"/>
                            <w:szCs w:val="12"/>
                          </w:rPr>
                          <w:t>(galvenais inspektors)</w:t>
                        </w:r>
                      </w:p>
                    </w:txbxContent>
                  </v:textbox>
                </v:rect>
                <v:shapetype id="_x0000_t33" coordsize="21600,21600" o:spt="33" o:oned="t" path="m,l21600,r,21600e" filled="f">
                  <v:stroke joinstyle="miter"/>
                  <v:path arrowok="t" fillok="f" o:connecttype="none"/>
                  <o:lock v:ext="edit" shapetype="t"/>
                </v:shapetype>
                <v:shape id="AutoShape 53" o:spid="_x0000_s1065" type="#_x0000_t33" style="position:absolute;left:11117;top:10733;width:168;height:2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EbDcEAAADbAAAADwAAAGRycy9kb3ducmV2LnhtbERPy4rCMBTdC/MP4Q7MTtMRsVqNMgjC&#10;MBsfFXF5aa5NsbkpTdQ6X28WgsvDec+Xna3FjVpfOVbwPUhAEBdOV1wqOOTr/gSED8gaa8ek4EEe&#10;louP3hwz7e68o9s+lCKGsM9QgQmhyaT0hSGLfuAa4sidXWsxRNiWUrd4j+G2lsMkGUuLFccGgw2t&#10;DBWX/dUq2PyXW5NuRnkqp6P8sToNp83fUamvz+5nBiJQF97il/tXK0jj2Pgl/g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ERsNwQAAANsAAAAPAAAAAAAAAAAAAAAA&#10;AKECAABkcnMvZG93bnJldi54bWxQSwUGAAAAAAQABAD5AAAAjwMAAAAA&#10;" strokecolor="#555f00">
                  <v:stroke endarrow="block" endarrowwidth="narrow" endarrowlength="short"/>
                  <v:shadow color="#e7dec9"/>
                </v:shape>
                <v:shape id="AutoShape 54" o:spid="_x0000_s1066" type="#_x0000_t32" style="position:absolute;left:11182;top:10732;width:0;height: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h18UAAADbAAAADwAAAGRycy9kb3ducmV2LnhtbESPX0sDMRDE3wt+h7CCL8XmtGDttWkp&#10;gqgPCv1Dn5fL9nJ62RzJ2rt+eyMIPg4z8xtmuR58q84UUxPYwN2kAEVcBdtwbeCwf759BJUE2WIb&#10;mAxcKMF6dTVaYmlDz1s676RWGcKpRANOpCu1TpUjj2kSOuLsnUL0KFnGWtuIfYb7Vt8XxYP22HBe&#10;cNjRk6Pqa/ftDbz04zjdvLlZ9xHn/Xshn7I97o25uR42C1BCg/yH/9qv1sBsDr9f8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h18UAAADbAAAADwAAAAAAAAAA&#10;AAAAAAChAgAAZHJzL2Rvd25yZXYueG1sUEsFBgAAAAAEAAQA+QAAAJMDAAAAAA==&#10;" strokecolor="#555f00" strokeweight=".5pt">
                  <v:stroke endarrow="block" endarrowwidth="narrow" endarrowlength="short"/>
                  <v:shadow color="#e7dec9"/>
                </v:shape>
                <v:shape id="AutoShape 55" o:spid="_x0000_s1067" type="#_x0000_t34" style="position:absolute;left:11326;top:10771;width:3;height:42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E78AAADbAAAADwAAAGRycy9kb3ducmV2LnhtbERPz2vCMBS+D/wfwhO8zdQdStcZZQyU&#10;XVaYU89vzbMpNi+hyWz875fDYMeP7/d6m+wgbjSG3rGC1bIAQdw63XOn4Pi1e6xAhIiscXBMCu4U&#10;YLuZPayx1m7iT7odYidyCIcaFZgYfS1laA1ZDEvniTN3caPFmOHYST3ilMPtIJ+KopQWe84NBj29&#10;GWqvhx+roEzPZv/dnGXx0bSWvD8l43dKLebp9QVEpBT/xX/ud62gyuvzl/wD5O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uF/E78AAADbAAAADwAAAAAAAAAAAAAAAACh&#10;AgAAZHJzL2Rvd25yZXYueG1sUEsFBgAAAAAEAAQA+QAAAI0DAAAAAA==&#10;" adj="-77353" strokecolor="#555f00">
                  <v:stroke endarrow="block" endarrowwidth="narrow" endarrowlength="short"/>
                  <v:shadow color="#e7dec9"/>
                </v:shape>
                <v:shape id="AutoShape 56" o:spid="_x0000_s1068" type="#_x0000_t32" style="position:absolute;left:11325;top:11111;width:17;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Z4fsQAAADbAAAADwAAAGRycy9kb3ducmV2LnhtbESPS2/CMBCE75X6H6ytxK04gIRowEG8&#10;WvUK7aW3xd48IF6H2JC0v76uhNTjaGa+0SyWva3FjVpfOVYwGiYgiLUzFRcKPj9en2cgfEA2WDsm&#10;Bd/kYZk9PiwwNa7jPd0OoRARwj5FBWUITSql1yVZ9EPXEEcvd63FEGVbSNNiF+G2luMkmUqLFceF&#10;EhvalKTPh6tVoH8mp3py/Joaoy/rXd6dXvZvW6UGT/1qDiJQH/7D9/a7UTAbwd+X+AN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5nh+xAAAANsAAAAPAAAAAAAAAAAA&#10;AAAAAKECAABkcnMvZG93bnJldi54bWxQSwUGAAAAAAQABAD5AAAAkgMAAAAA&#10;" strokecolor="#555f00" strokeweight=".5pt">
                  <v:stroke endarrow="block" endarrowwidth="narrow" endarrowlength="short"/>
                  <v:shadow color="#e7dec9"/>
                </v:shape>
                <v:shape id="AutoShape 57" o:spid="_x0000_s1069" type="#_x0000_t32" style="position:absolute;left:11325;top:11152;width:18;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TmCcQAAADbAAAADwAAAGRycy9kb3ducmV2LnhtbESPzW7CMBCE75V4B2uRegMHkBANGAT0&#10;R1yhXLgt9pIE4nWIXZL26TESUo+jmflGM1u0thQ3qn3hWMGgn4Ag1s4UnCnYf3/2JiB8QDZYOiYF&#10;v+RhMe+8zDA1ruEt3XYhExHCPkUFeQhVKqXXOVn0fVcRR+/kaoshyjqTpsYmwm0ph0kylhYLjgs5&#10;VrTOSV92P1aB/hudy9HxMDZGX1cfp+b8tv16V+q12y6nIAK14T/8bG+MgskQHl/iD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OYJxAAAANsAAAAPAAAAAAAAAAAA&#10;AAAAAKECAABkcnMvZG93bnJldi54bWxQSwUGAAAAAAQABAD5AAAAkgMAAAAA&#10;" strokecolor="#555f00" strokeweight=".5pt">
                  <v:stroke endarrow="block" endarrowwidth="narrow" endarrowlength="short"/>
                  <v:shadow color="#e7dec9"/>
                </v:shape>
                <v:rect id="Rectangle 58" o:spid="_x0000_s1070" style="position:absolute;left:11039;top:11265;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jUcMA&#10;AADbAAAADwAAAGRycy9kb3ducmV2LnhtbESPT2sCMRTE7wW/Q3hCbzWrpVZWo5SCsLfiH4reHpvn&#10;ZtnNy5JE3f32TUHwOMz8ZpjVpretuJEPtWMF00kGgrh0uuZKwfGwfVuACBFZY+uYFAwUYLMevaww&#10;1+7OO7rtYyVSCYccFZgYu1zKUBqyGCauI07exXmLMUlfSe3xnsptK2dZNpcWa04LBjv6NlQ2+6tV&#10;sJgOxg/F6WP2s3Pu9/zZzA9Fo9TruP9agojUx2f4QRc6ce/w/y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ajUc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Stratēģijas un metodoloģijas departaments</w:t>
                        </w:r>
                      </w:p>
                    </w:txbxContent>
                  </v:textbox>
                </v:rect>
                <v:rect id="Rectangle 59" o:spid="_x0000_s1071" style="position:absolute;left:11054;top:11314;width:8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7JcMA&#10;AADbAAAADwAAAGRycy9kb3ducmV2LnhtbESPT2sCMRTE7wW/Q3hCbzWrtFZWo5SCsLfiH4reHpvn&#10;ZtnNy5JE3f32TUHwOMz8ZpjVpretuJEPtWMF00kGgrh0uuZKwfGwfVuACBFZY+uYFAwUYLMevaww&#10;1+7OO7rtYyVSCYccFZgYu1zKUBqyGCauI07exXmLMUlfSe3xnsptK2dZNpcWa04LBjv6NlQ2+6tV&#10;sJgOxg/F6WP2s3Pu9/zZzA9Fo9TruP9agojUx2f4QRc6ce/w/y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87Jc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Juridiskā daļa</w:t>
                        </w:r>
                      </w:p>
                    </w:txbxContent>
                  </v:textbox>
                </v:rect>
                <v:rect id="Rectangle 60" o:spid="_x0000_s1072" style="position:absolute;left:11144;top:11314;width:8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evsMA&#10;AADbAAAADwAAAGRycy9kb3ducmV2LnhtbESPwWrDMBBE74X+g9hAb42cQFLjRjahUPCtJCmhvS3W&#10;1jK2VkZSE/vvq0Igx2HmzTC7arKDuJAPnWMFq2UGgrhxuuNWwefp/TkHESKyxsExKZgpQFU+Puyw&#10;0O7KB7ocYytSCYcCFZgYx0LK0BiyGJZuJE7ej/MWY5K+ldrjNZXbQa6zbCstdpwWDI70Zqjpj79W&#10;Qb6ajZ/rr8364+Dc+ful357qXqmnxbR/BRFpivfwja514jbw/yX9AF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OevsMAAADbAAAADwAAAAAAAAAAAAAAAACYAgAAZHJzL2Rv&#10;d25yZXYueG1sUEsFBgAAAAAEAAQA9QAAAIgDAAAAAA==&#10;" fillcolor="#fff1ce" strokecolor="#555f00" insetpen="t">
                  <v:shadow color="#e7dec9"/>
                  <v:textbox inset="2.88pt,2.88pt,2.88pt,2.88pt">
                    <w:txbxContent>
                      <w:p w:rsidR="00FC084B" w:rsidRDefault="00FC084B" w:rsidP="006B22CC">
                        <w:pPr>
                          <w:widowControl w:val="0"/>
                          <w:rPr>
                            <w:sz w:val="12"/>
                            <w:szCs w:val="12"/>
                          </w:rPr>
                        </w:pPr>
                        <w:r>
                          <w:rPr>
                            <w:sz w:val="12"/>
                            <w:szCs w:val="12"/>
                          </w:rPr>
                          <w:t>Dokumentu pārvaldības daļa</w:t>
                        </w:r>
                      </w:p>
                    </w:txbxContent>
                  </v:textbox>
                </v:rect>
                <v:shape id="AutoShape 61" o:spid="_x0000_s1073" type="#_x0000_t32" style="position:absolute;left:11098;top:11305;width: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FgsUAAADbAAAADwAAAGRycy9kb3ducmV2LnhtbESPQUsDMRSE7wX/Q3iCF7FZLdR227QU&#10;QdSDQlvp+bF53axuXpbk2d3+eyMIPQ4z8w2zXA++VSeKqQls4H5cgCKugm24NvC5f76bgUqCbLEN&#10;TAbOlGC9uhotsbSh5y2ddlKrDOFUogEn0pVap8qRxzQOHXH2jiF6lCxjrW3EPsN9qx+KYqo9NpwX&#10;HHb05Kj63v14Ay/9bZxs3txj9xHn/XshX7I97I25uR42C1BCg1zC/+1Xa2A2hb8v+Qf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UFgsUAAADbAAAADwAAAAAAAAAA&#10;AAAAAAChAgAAZHJzL2Rvd25yZXYueG1sUEsFBgAAAAAEAAQA+QAAAJMDAAAAAA==&#10;" strokecolor="#555f00" strokeweight=".5pt">
                  <v:stroke endarrow="block" endarrowwidth="narrow" endarrowlength="short"/>
                  <v:shadow color="#e7dec9"/>
                </v:shape>
                <v:shape id="AutoShape 62" o:spid="_x0000_s1074" type="#_x0000_t34" style="position:absolute;left:11127;top:11253;width:16;height:10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qo0MUAAADbAAAADwAAAGRycy9kb3ducmV2LnhtbESPT2vCQBTE7wW/w/KEXqRuErSV1FVE&#10;KPTgJWm9P7KvSWr2bcxu88dP7xYKPQ4z8xtmux9NI3rqXG1ZQbyMQBAXVtdcKvj8eHvagHAeWWNj&#10;mRRM5GC/mz1sMdV24Iz63JciQNilqKDyvk2ldEVFBt3StsTB+7KdQR9kV0rd4RDgppFJFD1LgzWH&#10;hQpbOlZUXPIfo+A6LYbzcDslq/GcfddrFxdxHiv1OB8PryA8jf4//Nd+1wo2L/D7JfwAu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qo0MUAAADbAAAADwAAAAAAAAAA&#10;AAAAAAChAgAAZHJzL2Rvd25yZXYueG1sUEsFBgAAAAAEAAQA+QAAAJMDAAAAAA==&#10;" strokecolor="#555f00" strokeweight=".5pt">
                  <v:stroke endarrow="block" endarrowwidth="narrow" endarrowlength="short"/>
                  <v:shadow color="#e7dec9"/>
                </v:shape>
                <v:shape id="AutoShape 63" o:spid="_x0000_s1075" type="#_x0000_t34" style="position:absolute;left:11174;top:10931;width:15;height:20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RxjMEAAADbAAAADwAAAGRycy9kb3ducmV2LnhtbERPz2vCMBS+D/wfwhN2m6kenHRNS5UJ&#10;E5ExNzw/mmfTrXkpTdbW/345CDt+fL+zYrKtGKj3jWMFy0UCgrhyuuFawdfn/mkDwgdkja1jUnAj&#10;D0U+e8gw1W7kDxrOoRYxhH2KCkwIXSqlrwxZ9AvXEUfu6nqLIcK+lrrHMYbbVq6SZC0tNhwbDHa0&#10;M1T9nH+tAtquju+v37rB/WnNVF62x8OzUepxPpUvIAJN4V98d79pBZs4Nn6JP0Dm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HGMwQAAANsAAAAPAAAAAAAAAAAAAAAA&#10;AKECAABkcnMvZG93bnJldi54bWxQSwUGAAAAAAQABAD5AAAAjwMAAAAA&#10;" adj="6156" strokecolor="#555f00" strokeweight=".5pt">
                  <v:stroke endarrow="block" endarrowwidth="narrow" endarrowlength="short"/>
                  <v:shadow color="#e7dec9"/>
                </v:shape>
                <v:shape id="AutoShape 64" o:spid="_x0000_s1076" type="#_x0000_t32" style="position:absolute;left:11182;top:10941;width: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qR8MUAAADbAAAADwAAAGRycy9kb3ducmV2LnhtbESPQUsDMRSE74L/ITyhF7FZW7Dt2rQU&#10;QWwPFtqK58fmuVndvCzJs7v+e1MQPA4z8w2zXA++VWeKqQls4H5cgCKugm24NvB2er6bg0qCbLEN&#10;TAZ+KMF6dX21xNKGng90PkqtMoRTiQacSFdqnSpHHtM4dMTZ+wjRo2QZa20j9hnuWz0pigftseG8&#10;4LCjJ0fV1/HbG3jpb+N0s3Ozbh8X/Wshn3J4Pxkzuhk2j6CEBvkP/7W31sB8AZcv+Qf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qR8MUAAADbAAAADwAAAAAAAAAA&#10;AAAAAAChAgAAZHJzL2Rvd25yZXYueG1sUEsFBgAAAAAEAAQA+QAAAJMDAAAAAA==&#10;" strokecolor="#555f00" strokeweight=".5pt">
                  <v:stroke endarrow="block" endarrowwidth="narrow" endarrowlength="short"/>
                  <v:shadow color="#e7dec9"/>
                </v:shape>
              </v:group>
            </w:pict>
          </mc:Fallback>
        </mc:AlternateContent>
      </w: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Pr="004E6BD8" w:rsidRDefault="006B11C2" w:rsidP="00511419">
      <w:pPr>
        <w:spacing w:before="120"/>
        <w:rPr>
          <w:rFonts w:asciiTheme="minorHAnsi" w:hAnsiTheme="minorHAnsi"/>
          <w:color w:val="003300"/>
        </w:rPr>
      </w:pPr>
    </w:p>
    <w:p w:rsidR="006B11C2" w:rsidRDefault="006B11C2"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BA1B53" w:rsidRPr="004E6BD8" w:rsidRDefault="00BA1B53" w:rsidP="00BA1B53">
      <w:pPr>
        <w:widowControl w:val="0"/>
        <w:spacing w:before="120"/>
        <w:jc w:val="right"/>
        <w:rPr>
          <w:rFonts w:asciiTheme="minorHAnsi" w:hAnsiTheme="minorHAnsi"/>
          <w:color w:val="003300"/>
        </w:rPr>
      </w:pPr>
      <w:r>
        <w:rPr>
          <w:rFonts w:asciiTheme="minorHAnsi" w:hAnsiTheme="minorHAnsi"/>
          <w:i/>
          <w:color w:val="943634" w:themeColor="accent2" w:themeShade="BF"/>
        </w:rPr>
        <w:t>Reģionālo nodaļu izvietojums un atbildības teritorija</w:t>
      </w:r>
    </w:p>
    <w:p w:rsidR="006B22CC" w:rsidRDefault="00671DF0" w:rsidP="00511419">
      <w:pPr>
        <w:spacing w:before="120"/>
        <w:rPr>
          <w:rFonts w:asciiTheme="minorHAnsi" w:hAnsiTheme="minorHAnsi"/>
          <w:color w:val="003300"/>
        </w:rPr>
      </w:pPr>
      <w:r>
        <w:rPr>
          <w:rFonts w:asciiTheme="minorHAnsi" w:hAnsiTheme="minorHAnsi" w:cs="Arial"/>
          <w:noProof/>
          <w:color w:val="333333"/>
          <w:sz w:val="18"/>
          <w:szCs w:val="18"/>
        </w:rPr>
        <w:drawing>
          <wp:anchor distT="0" distB="0" distL="114300" distR="114300" simplePos="0" relativeHeight="251661312" behindDoc="0" locked="0" layoutInCell="1" allowOverlap="1" wp14:anchorId="437DA0F7" wp14:editId="459505A9">
            <wp:simplePos x="0" y="0"/>
            <wp:positionH relativeFrom="column">
              <wp:posOffset>1120140</wp:posOffset>
            </wp:positionH>
            <wp:positionV relativeFrom="paragraph">
              <wp:posOffset>132715</wp:posOffset>
            </wp:positionV>
            <wp:extent cx="4574540" cy="2781935"/>
            <wp:effectExtent l="0" t="0" r="0" b="0"/>
            <wp:wrapSquare wrapText="bothSides"/>
            <wp:docPr id="2" name="Picture 2" descr="http://www.vaad.gov.lv/UserFiles/image/Karte_okt2009_weblapas20izm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aad.gov.lv/UserFiles/image/Karte_okt2009_weblapas20izmer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4540" cy="2781935"/>
                    </a:xfrm>
                    <a:prstGeom prst="rect">
                      <a:avLst/>
                    </a:prstGeom>
                    <a:noFill/>
                    <a:ln>
                      <a:noFill/>
                    </a:ln>
                  </pic:spPr>
                </pic:pic>
              </a:graphicData>
            </a:graphic>
          </wp:anchor>
        </w:drawing>
      </w: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6B22CC" w:rsidRDefault="006B22CC" w:rsidP="00511419">
      <w:pPr>
        <w:spacing w:before="120"/>
        <w:rPr>
          <w:rFonts w:asciiTheme="minorHAnsi" w:hAnsiTheme="minorHAnsi"/>
          <w:color w:val="003300"/>
        </w:rPr>
      </w:pPr>
    </w:p>
    <w:p w:rsidR="00BF7120" w:rsidRPr="00B75453" w:rsidRDefault="00C73BFD" w:rsidP="00EC3280">
      <w:pPr>
        <w:pStyle w:val="Heading2"/>
      </w:pPr>
      <w:bookmarkStart w:id="5" w:name="_Toc363572020"/>
      <w:bookmarkStart w:id="6" w:name="_Toc364414718"/>
      <w:bookmarkStart w:id="7" w:name="_Toc364414860"/>
      <w:r w:rsidRPr="00B75453">
        <w:lastRenderedPageBreak/>
        <w:t xml:space="preserve">2. </w:t>
      </w:r>
      <w:r w:rsidR="00075D8D" w:rsidRPr="00B75453">
        <w:t>Personāls</w:t>
      </w:r>
      <w:bookmarkEnd w:id="5"/>
      <w:bookmarkEnd w:id="6"/>
      <w:bookmarkEnd w:id="7"/>
    </w:p>
    <w:p w:rsidR="00C73BFD" w:rsidRDefault="00C73BFD" w:rsidP="00511419">
      <w:pPr>
        <w:widowControl w:val="0"/>
        <w:spacing w:before="120"/>
        <w:jc w:val="both"/>
        <w:rPr>
          <w:rFonts w:asciiTheme="minorHAnsi" w:hAnsiTheme="minorHAnsi"/>
        </w:rPr>
      </w:pP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Saskaņā ar VAAD amatu saraksta datiem 2012.gada beigās </w:t>
      </w:r>
      <w:r w:rsidR="004B6E67">
        <w:rPr>
          <w:rFonts w:asciiTheme="minorHAnsi" w:hAnsiTheme="minorHAnsi"/>
        </w:rPr>
        <w:t>VAAD</w:t>
      </w:r>
      <w:r w:rsidR="004B6E67" w:rsidRPr="00BF7120">
        <w:rPr>
          <w:rFonts w:asciiTheme="minorHAnsi" w:hAnsiTheme="minorHAnsi"/>
        </w:rPr>
        <w:t xml:space="preserve"> </w:t>
      </w:r>
      <w:r w:rsidRPr="00BF7120">
        <w:rPr>
          <w:rFonts w:asciiTheme="minorHAnsi" w:hAnsiTheme="minorHAnsi"/>
        </w:rPr>
        <w:t>bija 203 amata vietas, faktiskais vidējais personāla skaits - 190, t.sk., vidēji 122 (66%) ierēdņi un 61 (34%) darbinieki.</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Ņemot vērā Ministru kabineta 05.06.2012. sēdes protokola nr.32 </w:t>
      </w:r>
      <w:proofErr w:type="spellStart"/>
      <w:r w:rsidRPr="00BF7120">
        <w:rPr>
          <w:rFonts w:asciiTheme="minorHAnsi" w:hAnsiTheme="minorHAnsi"/>
        </w:rPr>
        <w:t>Protokollēmumu</w:t>
      </w:r>
      <w:proofErr w:type="spellEnd"/>
      <w:r w:rsidRPr="00BF7120">
        <w:rPr>
          <w:rFonts w:asciiTheme="minorHAnsi" w:hAnsiTheme="minorHAnsi"/>
        </w:rPr>
        <w:t xml:space="preserve"> Nr.24§ „Par dzīvnieku izcelsmes pārtikas kravu veterināro robežkontroli, augu un augu produktu izcelsmes fitosanitāro kontroli VAS „Starptautiskā lidostā „Rīga””, no 2012.gada 1.jūlija tika izveidots fitosanitārās kontroles punkts lidostā, kas ietilpst Rīgas reģionālās un vispārējās uzraudzības nodaļā.</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Saskaņā ar VAAD 15.08.2012. rīkojumu Nr.98 „Par augu šķirņu saimniecisko īpašību novērtēšanas funkcijas nodošanu Latvijas Lauksaimniecības universitātei” no 2012.gada 1.novembra tika likvidēta viena speciālista (agronomijā) amata vieta Sēklu kontroles departamentā. </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2012.gadā VAAD valsts civildienesta attiecības uzsāka 9 ierēdņi, savukārt darba tiesiskās attiecības uzsāka 11 darbinieki. </w:t>
      </w:r>
    </w:p>
    <w:p w:rsidR="00C73BFD" w:rsidRDefault="00BF7120" w:rsidP="00511419">
      <w:pPr>
        <w:widowControl w:val="0"/>
        <w:spacing w:before="120"/>
        <w:jc w:val="both"/>
        <w:rPr>
          <w:rFonts w:asciiTheme="minorHAnsi" w:hAnsiTheme="minorHAnsi"/>
        </w:rPr>
      </w:pPr>
      <w:r w:rsidRPr="00BF7120">
        <w:rPr>
          <w:rFonts w:asciiTheme="minorHAnsi" w:hAnsiTheme="minorHAnsi"/>
        </w:rPr>
        <w:t xml:space="preserve">2012.gadā VAAD valsts civildienesta attiecības pārtrauca 12 ierēdņi un darba tiesiskās attiecības izbeidza 10 darbinieki. Personāla mainība pārskata gadā – 22%. </w:t>
      </w:r>
    </w:p>
    <w:p w:rsidR="00615043" w:rsidRPr="00615043" w:rsidRDefault="00615043" w:rsidP="00C73BFD">
      <w:pPr>
        <w:pStyle w:val="grafikiem"/>
        <w:rPr>
          <w:i w:val="0"/>
          <w:sz w:val="4"/>
          <w:szCs w:val="4"/>
        </w:rPr>
      </w:pPr>
    </w:p>
    <w:p w:rsidR="00BF7120" w:rsidRPr="00BF7120" w:rsidRDefault="00BF7120" w:rsidP="00615043">
      <w:pPr>
        <w:spacing w:before="120"/>
        <w:rPr>
          <w:rFonts w:asciiTheme="minorHAnsi" w:hAnsiTheme="minorHAnsi"/>
        </w:rPr>
      </w:pPr>
      <w:r w:rsidRPr="00BF7120">
        <w:rPr>
          <w:rFonts w:asciiTheme="minorHAnsi" w:hAnsiTheme="minorHAnsi"/>
        </w:rPr>
        <w:t>Pārskata gadā, salīdzinot ar iepriekšējā gada atbilstošajiem rādītājiem, ir nelielas korekcijas kopējā amata vietu skaitā, kā arī sadalījums ierēdņu un darbinieku amatu skaitā (skat.2.</w:t>
      </w:r>
      <w:r w:rsidR="00E174D5">
        <w:rPr>
          <w:rFonts w:asciiTheme="minorHAnsi" w:hAnsiTheme="minorHAnsi"/>
        </w:rPr>
        <w:t>1</w:t>
      </w:r>
      <w:r w:rsidRPr="00BF7120">
        <w:rPr>
          <w:rFonts w:asciiTheme="minorHAnsi" w:hAnsiTheme="minorHAnsi"/>
        </w:rPr>
        <w:t>. attēlu).</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2012.gada personāla mainību raksturojošie rādītāji ir vērtējami kā salīdzinoši augsti. Dati parāda, ka VAAD dažādos amatos nomainās aptuveni piektā daļa personāla, kas ir salīdzinoši augsts rādītājs. Salīdzinot pret iepriekšējo pārskata gadu palielinājies ir personā</w:t>
      </w:r>
      <w:r w:rsidR="00350AFD">
        <w:rPr>
          <w:rFonts w:asciiTheme="minorHAnsi" w:hAnsiTheme="minorHAnsi"/>
        </w:rPr>
        <w:t>la atjaunošanās koeficients (2.3.</w:t>
      </w:r>
      <w:r w:rsidRPr="00BF7120">
        <w:rPr>
          <w:rFonts w:asciiTheme="minorHAnsi" w:hAnsiTheme="minorHAnsi"/>
        </w:rPr>
        <w:t xml:space="preserve"> attēls), t.i., 10% no vidējā amata vietu skaita tika aizpildīti pieņemot darbā jaunus darbiniekus. </w:t>
      </w:r>
    </w:p>
    <w:p w:rsidR="00BF7120" w:rsidRDefault="00BF7120" w:rsidP="00511419">
      <w:pPr>
        <w:widowControl w:val="0"/>
        <w:spacing w:before="120"/>
        <w:jc w:val="both"/>
        <w:rPr>
          <w:rFonts w:asciiTheme="minorHAnsi" w:hAnsiTheme="minorHAnsi"/>
        </w:rPr>
      </w:pPr>
      <w:r w:rsidRPr="00BF7120">
        <w:rPr>
          <w:rFonts w:asciiTheme="minorHAnsi" w:hAnsiTheme="minorHAnsi"/>
        </w:rPr>
        <w:t xml:space="preserve">VAAD darbinieku dzimumu sadalījums salīdzinājumā ar iepriekšējiem gadiem palicis nemainīgs - kolektīvu galvenokārt veido sievietes, pārskata gada beigās </w:t>
      </w:r>
      <w:r w:rsidR="004B6E67">
        <w:rPr>
          <w:rFonts w:asciiTheme="minorHAnsi" w:hAnsiTheme="minorHAnsi"/>
        </w:rPr>
        <w:t>VAAD</w:t>
      </w:r>
      <w:r w:rsidR="004B6E67" w:rsidRPr="00BF7120">
        <w:rPr>
          <w:rFonts w:asciiTheme="minorHAnsi" w:hAnsiTheme="minorHAnsi"/>
        </w:rPr>
        <w:t xml:space="preserve"> </w:t>
      </w:r>
      <w:r w:rsidRPr="00BF7120">
        <w:rPr>
          <w:rFonts w:asciiTheme="minorHAnsi" w:hAnsiTheme="minorHAnsi"/>
        </w:rPr>
        <w:t>strādāja 150 sievietes (79%). Lielākais ir to darbinieku skaits, kuru vecums ir 41-55 gadi (2.</w:t>
      </w:r>
      <w:r w:rsidR="00350AFD">
        <w:rPr>
          <w:rFonts w:asciiTheme="minorHAnsi" w:hAnsiTheme="minorHAnsi"/>
        </w:rPr>
        <w:t>4</w:t>
      </w:r>
      <w:r w:rsidRPr="00BF7120">
        <w:rPr>
          <w:rFonts w:asciiTheme="minorHAnsi" w:hAnsiTheme="minorHAnsi"/>
        </w:rPr>
        <w:t xml:space="preserve">. attēls), kas norāda uz </w:t>
      </w:r>
      <w:r w:rsidR="004B6E67">
        <w:rPr>
          <w:rFonts w:asciiTheme="minorHAnsi" w:hAnsiTheme="minorHAnsi"/>
        </w:rPr>
        <w:t>VAAD</w:t>
      </w:r>
      <w:r w:rsidR="004B6E67" w:rsidRPr="00BF7120">
        <w:rPr>
          <w:rFonts w:asciiTheme="minorHAnsi" w:hAnsiTheme="minorHAnsi"/>
        </w:rPr>
        <w:t xml:space="preserve"> </w:t>
      </w:r>
      <w:r w:rsidRPr="00BF7120">
        <w:rPr>
          <w:rFonts w:asciiTheme="minorHAnsi" w:hAnsiTheme="minorHAnsi"/>
        </w:rPr>
        <w:t xml:space="preserve">kolektīva novecošanu, taču tajā pašā laikā tas arī nozīmē, ka darbu turpina pieredzējuši, profesionāli un lojāli speciālisti. </w:t>
      </w:r>
    </w:p>
    <w:p w:rsidR="00C73BFD" w:rsidRPr="00615043" w:rsidRDefault="00C73BFD" w:rsidP="00C73BFD">
      <w:pPr>
        <w:widowControl w:val="0"/>
        <w:rPr>
          <w:iCs/>
          <w:color w:val="555F00"/>
          <w:sz w:val="4"/>
          <w:szCs w:val="4"/>
        </w:rPr>
      </w:pPr>
    </w:p>
    <w:p w:rsidR="00C73BFD" w:rsidRDefault="00C73BFD" w:rsidP="00C73BFD">
      <w:pPr>
        <w:pStyle w:val="grafikiem"/>
      </w:pPr>
      <w:r>
        <w:t>Amata vietu</w:t>
      </w:r>
      <w:r w:rsidR="00E174D5">
        <w:t xml:space="preserve"> izmaiņas 2008. – 2012.gads (2.1</w:t>
      </w:r>
      <w:r>
        <w:t>.)</w:t>
      </w:r>
    </w:p>
    <w:p w:rsidR="00BF7120" w:rsidRPr="00C73BFD" w:rsidRDefault="00C73BFD" w:rsidP="00511419">
      <w:pPr>
        <w:widowControl w:val="0"/>
        <w:spacing w:before="120"/>
        <w:jc w:val="both"/>
        <w:rPr>
          <w:rFonts w:asciiTheme="minorHAnsi" w:hAnsiTheme="minorHAnsi"/>
          <w:i/>
          <w:color w:val="943634" w:themeColor="accent2" w:themeShade="BF"/>
        </w:rPr>
      </w:pPr>
      <w:r>
        <w:rPr>
          <w:rFonts w:asciiTheme="minorHAnsi" w:hAnsiTheme="minorHAnsi"/>
          <w:i/>
          <w:noProof/>
          <w:color w:val="943634" w:themeColor="accent2" w:themeShade="BF"/>
        </w:rPr>
        <w:drawing>
          <wp:anchor distT="0" distB="0" distL="114300" distR="114300" simplePos="0" relativeHeight="251668480" behindDoc="0" locked="0" layoutInCell="1" allowOverlap="1" wp14:anchorId="53B8155A" wp14:editId="5817F83F">
            <wp:simplePos x="0" y="0"/>
            <wp:positionH relativeFrom="column">
              <wp:posOffset>-69941</wp:posOffset>
            </wp:positionH>
            <wp:positionV relativeFrom="paragraph">
              <wp:posOffset>61141</wp:posOffset>
            </wp:positionV>
            <wp:extent cx="4240530" cy="2782570"/>
            <wp:effectExtent l="0" t="0" r="0" b="0"/>
            <wp:wrapSquare wrapText="bothSides"/>
            <wp:docPr id="31" name="Objec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F7120" w:rsidRPr="00C73BFD" w:rsidRDefault="00BF7120" w:rsidP="00511419">
      <w:pPr>
        <w:widowControl w:val="0"/>
        <w:spacing w:before="120"/>
        <w:jc w:val="both"/>
        <w:rPr>
          <w:rFonts w:asciiTheme="minorHAnsi" w:hAnsiTheme="minorHAnsi"/>
          <w:i/>
          <w:color w:val="943634" w:themeColor="accent2" w:themeShade="BF"/>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Default="00C73BFD" w:rsidP="00511419">
      <w:pPr>
        <w:widowControl w:val="0"/>
        <w:spacing w:before="120"/>
        <w:jc w:val="both"/>
        <w:rPr>
          <w:rFonts w:asciiTheme="minorHAnsi" w:hAnsiTheme="minorHAnsi"/>
        </w:rPr>
      </w:pPr>
    </w:p>
    <w:p w:rsidR="00C73BFD" w:rsidRPr="00C73BFD" w:rsidRDefault="00C73BFD" w:rsidP="00C73BFD">
      <w:pPr>
        <w:pStyle w:val="grafikiem"/>
      </w:pPr>
      <w:r w:rsidRPr="00C73BFD">
        <w:t>Amata vietu izmaiņas 2008. – 2012.gads</w:t>
      </w:r>
      <w:r>
        <w:t xml:space="preserve"> (2.</w:t>
      </w:r>
      <w:r w:rsidR="00350AFD">
        <w:t>2</w:t>
      </w:r>
      <w:r>
        <w:t>.)</w:t>
      </w:r>
    </w:p>
    <w:p w:rsidR="00C73BFD" w:rsidRDefault="00C73BFD" w:rsidP="00350AFD">
      <w:pPr>
        <w:widowControl w:val="0"/>
        <w:spacing w:before="120"/>
        <w:jc w:val="both"/>
      </w:pPr>
      <w:r>
        <w:rPr>
          <w:rFonts w:asciiTheme="minorHAnsi" w:hAnsiTheme="minorHAnsi"/>
          <w:noProof/>
        </w:rPr>
        <w:drawing>
          <wp:anchor distT="0" distB="0" distL="114300" distR="114300" simplePos="0" relativeHeight="251670528" behindDoc="0" locked="0" layoutInCell="1" allowOverlap="1" wp14:anchorId="7555E94D" wp14:editId="7BE435D7">
            <wp:simplePos x="0" y="0"/>
            <wp:positionH relativeFrom="column">
              <wp:posOffset>24765</wp:posOffset>
            </wp:positionH>
            <wp:positionV relativeFrom="paragraph">
              <wp:posOffset>186055</wp:posOffset>
            </wp:positionV>
            <wp:extent cx="4240530" cy="2782570"/>
            <wp:effectExtent l="0" t="0" r="0" b="0"/>
            <wp:wrapSquare wrapText="bothSides"/>
            <wp:docPr id="28" name="Objec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BF7120">
        <w:rPr>
          <w:rFonts w:asciiTheme="minorHAnsi" w:hAnsiTheme="minorHAnsi"/>
        </w:rPr>
        <w:br w:type="page"/>
      </w:r>
      <w:r>
        <w:lastRenderedPageBreak/>
        <w:t>Personāla atjaunošanās koeficients 2008. – 2012.gads (2.</w:t>
      </w:r>
      <w:r w:rsidR="00350AFD">
        <w:t>3</w:t>
      </w:r>
      <w:r>
        <w:t>.)</w:t>
      </w:r>
    </w:p>
    <w:p w:rsidR="00BF7120" w:rsidRDefault="00BF7120" w:rsidP="00511419">
      <w:pPr>
        <w:widowControl w:val="0"/>
        <w:spacing w:before="120"/>
        <w:jc w:val="both"/>
        <w:rPr>
          <w:rFonts w:asciiTheme="minorHAnsi" w:hAnsiTheme="minorHAnsi"/>
        </w:rPr>
      </w:pPr>
      <w:r>
        <w:rPr>
          <w:rFonts w:asciiTheme="minorHAnsi" w:hAnsiTheme="minorHAnsi"/>
          <w:noProof/>
        </w:rPr>
        <w:drawing>
          <wp:inline distT="0" distB="0" distL="0" distR="0" wp14:anchorId="506B4826" wp14:editId="3EBBAAA7">
            <wp:extent cx="4275254" cy="2661199"/>
            <wp:effectExtent l="0" t="0" r="0" b="6350"/>
            <wp:docPr id="105" name="Objec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F7120" w:rsidRPr="00615043" w:rsidRDefault="00BF7120" w:rsidP="00511419">
      <w:pPr>
        <w:widowControl w:val="0"/>
        <w:spacing w:before="120"/>
        <w:jc w:val="both"/>
        <w:rPr>
          <w:rFonts w:asciiTheme="minorHAnsi" w:hAnsiTheme="minorHAnsi"/>
          <w:sz w:val="4"/>
          <w:szCs w:val="4"/>
        </w:rPr>
      </w:pPr>
    </w:p>
    <w:p w:rsidR="00C73BFD" w:rsidRDefault="00C73BFD" w:rsidP="00C73BFD">
      <w:pPr>
        <w:pStyle w:val="grafikiem"/>
      </w:pPr>
      <w:r>
        <w:t>Personāla vecuma raksturojums (2.</w:t>
      </w:r>
      <w:r w:rsidR="00350AFD">
        <w:t>4</w:t>
      </w:r>
      <w:r>
        <w:t>.)</w:t>
      </w:r>
    </w:p>
    <w:p w:rsidR="00BF7120" w:rsidRDefault="00C73BFD" w:rsidP="00511419">
      <w:pPr>
        <w:widowControl w:val="0"/>
        <w:spacing w:before="120"/>
        <w:jc w:val="both"/>
        <w:rPr>
          <w:rFonts w:asciiTheme="minorHAnsi" w:hAnsiTheme="minorHAnsi"/>
        </w:rPr>
      </w:pPr>
      <w:r>
        <w:rPr>
          <w:rFonts w:asciiTheme="minorHAnsi" w:hAnsiTheme="minorHAnsi"/>
          <w:noProof/>
        </w:rPr>
        <w:drawing>
          <wp:inline distT="0" distB="0" distL="0" distR="0" wp14:anchorId="408EA222" wp14:editId="3AEEC78C">
            <wp:extent cx="5184472" cy="3033721"/>
            <wp:effectExtent l="0" t="0" r="0" b="0"/>
            <wp:docPr id="25" name="Objec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VAAD ir augsts darbinieku izglītības līmenis, jo 88 % darbinieku ir augstākā izglītība, tai skaitā 2 darbiniekiem ir doktora grāds, 34 darbiniekiem ir maģistra grāds, 26 darbiniekiem ir vidējā speciāla izglītība vai vidējā izglītība. VAAD darbinieki neapstājas pie sasniegtā, jo vairāki darbinieki studē, lai iegūtu vēl vienu augstāko izglītību vai paaugstinātu esošo kvalifikāciju. </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Lai apgūtu ar VAAD darbību saistītās speciālās zināšanas notiek regulāras VAAD vecāko inspektoru apmācības par profesionālajiem jautājumiem (agronomija, sēklkopība, kontroļu veikšanas kārtība u.c.). Mācību pasniedzēji ir bijuši gan VAAD speciālisti, gan arī citu iestāžu un uzņēmumu speciālisti. VAAD 2012.gadā rīkojis 35 iekšējās mācības par profesionāliem jautājumiem šādās jomās:</w:t>
      </w:r>
    </w:p>
    <w:p w:rsidR="00BF7120" w:rsidRPr="00BF7120" w:rsidRDefault="00BF7120" w:rsidP="001234C1">
      <w:pPr>
        <w:pStyle w:val="ListParagraph"/>
        <w:numPr>
          <w:ilvl w:val="0"/>
          <w:numId w:val="8"/>
        </w:numPr>
        <w:spacing w:before="120"/>
        <w:jc w:val="both"/>
        <w:rPr>
          <w:rFonts w:asciiTheme="minorHAnsi" w:hAnsiTheme="minorHAnsi"/>
        </w:rPr>
      </w:pPr>
      <w:r w:rsidRPr="00BF7120">
        <w:rPr>
          <w:rFonts w:asciiTheme="minorHAnsi" w:hAnsiTheme="minorHAnsi"/>
        </w:rPr>
        <w:t>Mēslošanas līdzekļu aprites jomā;</w:t>
      </w:r>
    </w:p>
    <w:p w:rsidR="00BF7120" w:rsidRPr="00BF7120" w:rsidRDefault="00BF7120" w:rsidP="001234C1">
      <w:pPr>
        <w:pStyle w:val="ListParagraph"/>
        <w:numPr>
          <w:ilvl w:val="0"/>
          <w:numId w:val="8"/>
        </w:numPr>
        <w:spacing w:before="120"/>
        <w:jc w:val="both"/>
        <w:rPr>
          <w:rFonts w:asciiTheme="minorHAnsi" w:hAnsiTheme="minorHAnsi"/>
        </w:rPr>
      </w:pPr>
      <w:r w:rsidRPr="00BF7120">
        <w:rPr>
          <w:rFonts w:asciiTheme="minorHAnsi" w:hAnsiTheme="minorHAnsi"/>
        </w:rPr>
        <w:t>AAL uzraudzības jomā;</w:t>
      </w:r>
    </w:p>
    <w:p w:rsidR="00BF7120" w:rsidRPr="00BF7120" w:rsidRDefault="00BF7120" w:rsidP="001234C1">
      <w:pPr>
        <w:pStyle w:val="ListParagraph"/>
        <w:numPr>
          <w:ilvl w:val="0"/>
          <w:numId w:val="8"/>
        </w:numPr>
        <w:spacing w:before="120"/>
        <w:jc w:val="both"/>
        <w:rPr>
          <w:rFonts w:asciiTheme="minorHAnsi" w:hAnsiTheme="minorHAnsi"/>
        </w:rPr>
      </w:pPr>
      <w:r w:rsidRPr="00BF7120">
        <w:rPr>
          <w:rFonts w:asciiTheme="minorHAnsi" w:hAnsiTheme="minorHAnsi"/>
        </w:rPr>
        <w:t>Augu slimību un kaitēkļu prognožu jomā;</w:t>
      </w:r>
    </w:p>
    <w:p w:rsidR="00BF7120" w:rsidRPr="00BF7120" w:rsidRDefault="00BF7120" w:rsidP="001234C1">
      <w:pPr>
        <w:pStyle w:val="ListParagraph"/>
        <w:numPr>
          <w:ilvl w:val="0"/>
          <w:numId w:val="8"/>
        </w:numPr>
        <w:spacing w:before="120"/>
        <w:jc w:val="both"/>
        <w:rPr>
          <w:rFonts w:asciiTheme="minorHAnsi" w:hAnsiTheme="minorHAnsi"/>
        </w:rPr>
      </w:pPr>
      <w:r w:rsidRPr="00BF7120">
        <w:rPr>
          <w:rFonts w:asciiTheme="minorHAnsi" w:hAnsiTheme="minorHAnsi"/>
        </w:rPr>
        <w:t>Augu karantīnas jomā;</w:t>
      </w:r>
    </w:p>
    <w:p w:rsidR="00BF7120" w:rsidRPr="00BF7120" w:rsidRDefault="00BF7120" w:rsidP="001234C1">
      <w:pPr>
        <w:pStyle w:val="ListParagraph"/>
        <w:numPr>
          <w:ilvl w:val="0"/>
          <w:numId w:val="8"/>
        </w:numPr>
        <w:spacing w:before="120"/>
        <w:jc w:val="both"/>
        <w:rPr>
          <w:rFonts w:asciiTheme="minorHAnsi" w:hAnsiTheme="minorHAnsi"/>
        </w:rPr>
      </w:pPr>
      <w:r w:rsidRPr="00BF7120">
        <w:rPr>
          <w:rFonts w:asciiTheme="minorHAnsi" w:hAnsiTheme="minorHAnsi"/>
        </w:rPr>
        <w:lastRenderedPageBreak/>
        <w:t>Sēklu kontroles jomā.</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Lai pilnveidotu profesionālās zināšanas, t.sk., par valsts pārvaldi, administratīvajiem procesiem, specifiskiem laboratoriju darbību reglamentējošiem jautājumiem 2012.gadā darbinieki ir apmeklējuši Valsts administrācijas skolas un citu mācību iestāžu rīkotos kursus un seminārus, piemēram, korupcijas novēršanā, darba izpildes novērtēšanā, kvalitātes pārvaldības un iekšējās kontroles jomā.</w:t>
      </w:r>
    </w:p>
    <w:p w:rsidR="00BF7120" w:rsidRPr="00BF7120" w:rsidRDefault="00BF7120" w:rsidP="00511419">
      <w:pPr>
        <w:widowControl w:val="0"/>
        <w:spacing w:before="120"/>
        <w:jc w:val="both"/>
        <w:rPr>
          <w:rFonts w:asciiTheme="minorHAnsi" w:hAnsiTheme="minorHAnsi"/>
        </w:rPr>
      </w:pPr>
      <w:r w:rsidRPr="00BF7120">
        <w:rPr>
          <w:rFonts w:asciiTheme="minorHAnsi" w:hAnsiTheme="minorHAnsi"/>
        </w:rPr>
        <w:t xml:space="preserve">VAAD darbinieki profesionālās zināšanas papildināja piedaloties starptautiskos semināros, pieredzes apmaiņas pasākumos un konferencēs, piemēram, par kaitīgo organismu riska izvērtēšanu, par integrēto augu aizsardzību, augu aizsardzības līdzekļu novērtēšanu, sēklu saimniecisko īpašību novērtēšanu, kaitīgo koksnes nematožu identifikācijas metodēm, par augu veselības uzraudzību u.c. </w:t>
      </w:r>
    </w:p>
    <w:p w:rsidR="00C73BFD" w:rsidRDefault="00BF7120" w:rsidP="00C73BFD">
      <w:pPr>
        <w:widowControl w:val="0"/>
        <w:rPr>
          <w:i/>
          <w:iCs/>
          <w:color w:val="555F00"/>
        </w:rPr>
      </w:pPr>
      <w:r w:rsidRPr="00BF7120">
        <w:rPr>
          <w:rFonts w:asciiTheme="minorHAnsi" w:hAnsiTheme="minorHAnsi"/>
        </w:rPr>
        <w:t xml:space="preserve">2012.gadā par profesionālu darbu divi </w:t>
      </w:r>
      <w:r w:rsidR="004B6E67">
        <w:rPr>
          <w:rFonts w:asciiTheme="minorHAnsi" w:hAnsiTheme="minorHAnsi"/>
        </w:rPr>
        <w:t>VAAD</w:t>
      </w:r>
      <w:r w:rsidR="004B6E67" w:rsidRPr="00BF7120">
        <w:rPr>
          <w:rFonts w:asciiTheme="minorHAnsi" w:hAnsiTheme="minorHAnsi"/>
        </w:rPr>
        <w:t xml:space="preserve"> </w:t>
      </w:r>
      <w:r w:rsidRPr="00BF7120">
        <w:rPr>
          <w:rFonts w:asciiTheme="minorHAnsi" w:hAnsiTheme="minorHAnsi"/>
        </w:rPr>
        <w:t>darbinieki saņēma Zemkopības ministrijas apbalvojumu - medaļu „Par centību” un vienam darbiniekam tika piešķirts Zemkopības ministrijas Atzinības raksts.</w:t>
      </w:r>
      <w:r w:rsidR="00C73BFD" w:rsidRPr="00C73BFD">
        <w:rPr>
          <w:i/>
          <w:iCs/>
          <w:color w:val="555F00"/>
        </w:rPr>
        <w:t xml:space="preserve"> </w:t>
      </w:r>
    </w:p>
    <w:p w:rsidR="00C73BFD" w:rsidRDefault="00C73BFD" w:rsidP="00C73BFD">
      <w:pPr>
        <w:pStyle w:val="grafikiem"/>
      </w:pPr>
      <w:r>
        <w:t>Personāla kvalifikācija (2.</w:t>
      </w:r>
      <w:r w:rsidR="00350AFD">
        <w:t>5</w:t>
      </w:r>
      <w:r>
        <w:t>.)</w:t>
      </w:r>
    </w:p>
    <w:p w:rsidR="00BF7120" w:rsidRDefault="00C73BFD" w:rsidP="00C73BFD">
      <w:pPr>
        <w:widowControl w:val="0"/>
        <w:spacing w:before="120"/>
        <w:jc w:val="both"/>
        <w:rPr>
          <w:rFonts w:asciiTheme="minorHAnsi" w:hAnsiTheme="minorHAnsi"/>
        </w:rPr>
      </w:pPr>
      <w:r>
        <w:rPr>
          <w:rFonts w:asciiTheme="minorHAnsi" w:hAnsiTheme="minorHAnsi"/>
          <w:noProof/>
        </w:rPr>
        <w:drawing>
          <wp:inline distT="0" distB="0" distL="0" distR="0" wp14:anchorId="756A0D7D" wp14:editId="00946721">
            <wp:extent cx="5474265" cy="3224914"/>
            <wp:effectExtent l="0" t="0" r="0" b="0"/>
            <wp:docPr id="22"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F7120">
        <w:rPr>
          <w:rFonts w:asciiTheme="minorHAnsi" w:hAnsiTheme="minorHAnsi"/>
        </w:rPr>
        <w:br w:type="page"/>
      </w:r>
    </w:p>
    <w:p w:rsidR="00343C48" w:rsidRPr="00555E71" w:rsidRDefault="0073375C" w:rsidP="00EC3280">
      <w:pPr>
        <w:pStyle w:val="Heading2"/>
      </w:pPr>
      <w:bookmarkStart w:id="8" w:name="_Toc363572021"/>
      <w:bookmarkStart w:id="9" w:name="_Toc364414719"/>
      <w:bookmarkStart w:id="10" w:name="_Toc364414861"/>
      <w:r w:rsidRPr="00555E71">
        <w:lastRenderedPageBreak/>
        <w:t>3. Finanšu resurs</w:t>
      </w:r>
      <w:bookmarkEnd w:id="8"/>
      <w:bookmarkEnd w:id="9"/>
      <w:bookmarkEnd w:id="10"/>
      <w:r w:rsidR="00615043">
        <w:t>i</w:t>
      </w:r>
      <w:r w:rsidR="00343C48" w:rsidRPr="00555E71">
        <w:t xml:space="preserve"> </w:t>
      </w:r>
    </w:p>
    <w:p w:rsidR="00343C48" w:rsidRPr="00B46BCB" w:rsidRDefault="00343C48" w:rsidP="00511419">
      <w:pPr>
        <w:widowControl w:val="0"/>
        <w:spacing w:before="120"/>
        <w:jc w:val="both"/>
        <w:rPr>
          <w:rFonts w:asciiTheme="minorHAnsi" w:hAnsiTheme="minorHAnsi"/>
        </w:rPr>
      </w:pPr>
      <w:bookmarkStart w:id="11" w:name="_Toc329957683"/>
      <w:r w:rsidRPr="00B46BCB">
        <w:rPr>
          <w:rFonts w:asciiTheme="minorHAnsi" w:hAnsiTheme="minorHAnsi"/>
        </w:rPr>
        <w:t xml:space="preserve">2012. gadam VAAD atbilstoši likumam „Par valsts budžetu 2012.gadam” (uz.01.01.2012.) budžeta programmas 27.00.00. „Augu veselība un augu aprites uzraudzība” realizācijai piešķirts budžets – resursi Ls 2 384 994 apjomā, izdevumi Ls 2 384 994 apjomā. </w:t>
      </w:r>
    </w:p>
    <w:p w:rsidR="00615043" w:rsidRPr="00615043" w:rsidRDefault="00615043" w:rsidP="00615043">
      <w:pPr>
        <w:widowControl w:val="0"/>
        <w:spacing w:before="120"/>
        <w:jc w:val="both"/>
        <w:rPr>
          <w:rFonts w:asciiTheme="minorHAnsi" w:hAnsiTheme="minorHAnsi"/>
        </w:rPr>
      </w:pPr>
      <w:r>
        <w:rPr>
          <w:rFonts w:asciiTheme="minorHAnsi" w:hAnsiTheme="minorHAnsi"/>
        </w:rPr>
        <w:t>Ar budžeta grozījumiem:</w:t>
      </w:r>
    </w:p>
    <w:p w:rsidR="00343C48" w:rsidRPr="00B46BCB" w:rsidRDefault="00343C48" w:rsidP="0073375C">
      <w:pPr>
        <w:pStyle w:val="ListParagraph"/>
        <w:widowControl w:val="0"/>
        <w:numPr>
          <w:ilvl w:val="0"/>
          <w:numId w:val="34"/>
        </w:numPr>
        <w:spacing w:before="120"/>
        <w:jc w:val="both"/>
        <w:rPr>
          <w:rFonts w:asciiTheme="minorHAnsi" w:hAnsiTheme="minorHAnsi"/>
        </w:rPr>
      </w:pPr>
      <w:r w:rsidRPr="00B46BCB">
        <w:rPr>
          <w:rFonts w:asciiTheme="minorHAnsi" w:hAnsiTheme="minorHAnsi"/>
        </w:rPr>
        <w:t>tika veikts palielinājums kapitālajos izdevumos par Ls 92 000 paredzot jaunu VAAD automašīnu iegādi, lai atjaunotu VAAD novecojušo autoparku,</w:t>
      </w:r>
    </w:p>
    <w:p w:rsidR="00343C48" w:rsidRPr="00B46BCB" w:rsidRDefault="00343C48" w:rsidP="0073375C">
      <w:pPr>
        <w:pStyle w:val="ListParagraph"/>
        <w:widowControl w:val="0"/>
        <w:numPr>
          <w:ilvl w:val="0"/>
          <w:numId w:val="34"/>
        </w:numPr>
        <w:spacing w:before="120"/>
        <w:jc w:val="both"/>
        <w:rPr>
          <w:rFonts w:asciiTheme="minorHAnsi" w:hAnsiTheme="minorHAnsi"/>
        </w:rPr>
      </w:pPr>
      <w:r w:rsidRPr="00B46BCB">
        <w:rPr>
          <w:rFonts w:asciiTheme="minorHAnsi" w:hAnsiTheme="minorHAnsi"/>
        </w:rPr>
        <w:t xml:space="preserve">paredzēts izmantot pašu ieņēmumu no sniegtajiem maksas pakalpojumiem atlikumu uz gada sākumu Ls 76 182 apjomā to paredzot atlīdzībai, </w:t>
      </w:r>
    </w:p>
    <w:p w:rsidR="00343C48" w:rsidRPr="00B46BCB" w:rsidRDefault="00343C48" w:rsidP="0073375C">
      <w:pPr>
        <w:pStyle w:val="ListParagraph"/>
        <w:widowControl w:val="0"/>
        <w:numPr>
          <w:ilvl w:val="0"/>
          <w:numId w:val="34"/>
        </w:numPr>
        <w:spacing w:before="120"/>
        <w:jc w:val="both"/>
        <w:rPr>
          <w:rFonts w:asciiTheme="minorHAnsi" w:hAnsiTheme="minorHAnsi"/>
        </w:rPr>
      </w:pPr>
      <w:r w:rsidRPr="00B46BCB">
        <w:rPr>
          <w:rFonts w:asciiTheme="minorHAnsi" w:hAnsiTheme="minorHAnsi"/>
        </w:rPr>
        <w:t xml:space="preserve">paredzēts palielināt ieņēmumus par sniegtajiem maksas pakalpojumiem par Ls 30000 sakarā ar eksporta augu un augu produktu kravu palielinājumu uz trešajām valstīm (Krievijas Federācija, Ukraina u.c.), paredzot palielināt fitosanitārās pārbaudes, kā arī sakarā ar jauno AAL reģistrācijas kārtību saskaņā </w:t>
      </w:r>
      <w:proofErr w:type="gramStart"/>
      <w:r w:rsidRPr="00B46BCB">
        <w:rPr>
          <w:rFonts w:asciiTheme="minorHAnsi" w:hAnsiTheme="minorHAnsi"/>
        </w:rPr>
        <w:t>ar Eiropas Parlamenta un Padomes</w:t>
      </w:r>
      <w:proofErr w:type="gramEnd"/>
      <w:r w:rsidRPr="00B46BCB">
        <w:rPr>
          <w:rFonts w:asciiTheme="minorHAnsi" w:hAnsiTheme="minorHAnsi"/>
        </w:rPr>
        <w:t xml:space="preserve"> Regulas Nr.1107/2009 par AAL laišanu tirgū, plānots, ka tiks iesniegti vairāk iesniegumu jaunu AAL novērtējuma sagatavošanai;</w:t>
      </w:r>
    </w:p>
    <w:p w:rsidR="00343C48" w:rsidRPr="0073375C" w:rsidRDefault="00343C48" w:rsidP="0073375C">
      <w:pPr>
        <w:pStyle w:val="ListParagraph"/>
        <w:widowControl w:val="0"/>
        <w:numPr>
          <w:ilvl w:val="0"/>
          <w:numId w:val="34"/>
        </w:numPr>
        <w:jc w:val="both"/>
        <w:rPr>
          <w:rFonts w:asciiTheme="minorHAnsi" w:hAnsiTheme="minorHAnsi"/>
        </w:rPr>
      </w:pPr>
      <w:r w:rsidRPr="0073375C">
        <w:rPr>
          <w:rFonts w:asciiTheme="minorHAnsi" w:hAnsiTheme="minorHAnsi"/>
        </w:rPr>
        <w:t>saņemti transferti Ls 23 000 lai nodrošinātu statistisku par pesticīdu izmantošanu lauksaimniecības kultūrām saskaņā ar Centrālā statistikas Pārvaldes organizēto apsekojumu, kurā VAAD veic statistikas datu ieguvi no 4000 Centrālās statistikas Pārvaldes atlasītām lauku saimniecībām, iegūstot datus par pesticīdu pielietošanu graudaugu kultūrām un rapsim.</w:t>
      </w:r>
    </w:p>
    <w:p w:rsidR="00343C48" w:rsidRPr="0073375C" w:rsidRDefault="00343C48" w:rsidP="0073375C">
      <w:pPr>
        <w:pStyle w:val="ListParagraph"/>
        <w:widowControl w:val="0"/>
        <w:numPr>
          <w:ilvl w:val="0"/>
          <w:numId w:val="34"/>
        </w:numPr>
        <w:spacing w:before="120"/>
        <w:jc w:val="both"/>
        <w:rPr>
          <w:rFonts w:asciiTheme="minorHAnsi" w:hAnsiTheme="minorHAnsi"/>
        </w:rPr>
      </w:pPr>
      <w:r w:rsidRPr="0073375C">
        <w:rPr>
          <w:rFonts w:asciiTheme="minorHAnsi" w:hAnsiTheme="minorHAnsi"/>
        </w:rPr>
        <w:t xml:space="preserve">Saņemta valsts dotācija Ls 5 296, lai atbalstītu ēnu ekonomikas apkarošanā iesaistīto darbinieku motivēšanu, saskaņā ar MK 2012.gada 14.augusta </w:t>
      </w:r>
      <w:proofErr w:type="spellStart"/>
      <w:r w:rsidRPr="0073375C">
        <w:rPr>
          <w:rFonts w:asciiTheme="minorHAnsi" w:hAnsiTheme="minorHAnsi"/>
        </w:rPr>
        <w:t>Protokollēmuma</w:t>
      </w:r>
      <w:proofErr w:type="spellEnd"/>
      <w:r w:rsidRPr="0073375C">
        <w:rPr>
          <w:rFonts w:asciiTheme="minorHAnsi" w:hAnsiTheme="minorHAnsi"/>
        </w:rPr>
        <w:t xml:space="preserve"> Nr.45 39§ „Informatīvais ziņojums "Par ēnu ekonomikas apkarošanas pasākumu īstenošanā iesaistīto institūciju darbības rezultātiem 2012.gada sešos mēnešos un šo pasākumu ietekmi uz nodokļu iekasēšanu””. Galvenās VAAD aktivitātes ēnu ekonomikas apkarošanā un godīgas konkurences veicināšanā bija vērstas uz nelegālo AAL</w:t>
      </w:r>
      <w:proofErr w:type="gramStart"/>
      <w:r w:rsidRPr="0073375C">
        <w:rPr>
          <w:rFonts w:asciiTheme="minorHAnsi" w:hAnsiTheme="minorHAnsi"/>
        </w:rPr>
        <w:t xml:space="preserve">  </w:t>
      </w:r>
      <w:proofErr w:type="gramEnd"/>
      <w:r w:rsidRPr="0073375C">
        <w:rPr>
          <w:rFonts w:asciiTheme="minorHAnsi" w:hAnsiTheme="minorHAnsi"/>
        </w:rPr>
        <w:t xml:space="preserve">tirdzniecības ierobežošanu. </w:t>
      </w:r>
    </w:p>
    <w:p w:rsidR="00343C48" w:rsidRPr="00B46BCB" w:rsidRDefault="00343C48" w:rsidP="00511419">
      <w:pPr>
        <w:widowControl w:val="0"/>
        <w:spacing w:before="120"/>
        <w:jc w:val="both"/>
        <w:rPr>
          <w:rFonts w:asciiTheme="minorHAnsi" w:hAnsiTheme="minorHAnsi"/>
        </w:rPr>
      </w:pPr>
      <w:r w:rsidRPr="00B46BCB">
        <w:rPr>
          <w:rFonts w:asciiTheme="minorHAnsi" w:hAnsiTheme="minorHAnsi"/>
        </w:rPr>
        <w:t> VAAD 2012.gadā saņēma:</w:t>
      </w:r>
    </w:p>
    <w:p w:rsidR="00343C48" w:rsidRPr="00B46BCB" w:rsidRDefault="00343C48" w:rsidP="001234C1">
      <w:pPr>
        <w:pStyle w:val="ListParagraph"/>
        <w:widowControl w:val="0"/>
        <w:numPr>
          <w:ilvl w:val="0"/>
          <w:numId w:val="5"/>
        </w:numPr>
        <w:spacing w:before="120"/>
        <w:jc w:val="both"/>
        <w:rPr>
          <w:rFonts w:asciiTheme="minorHAnsi" w:hAnsiTheme="minorHAnsi"/>
        </w:rPr>
      </w:pPr>
      <w:r w:rsidRPr="00B46BCB">
        <w:rPr>
          <w:rFonts w:asciiTheme="minorHAnsi" w:hAnsiTheme="minorHAnsi"/>
        </w:rPr>
        <w:t>Valsts atbalstu no budžeta apakšprogrammas 21.01.00 „Valsts atbalsts lauksaimniecībai un lauku attīstībai (subsīdijas)” Ls 85 861 apmērā, tai skaitā:</w:t>
      </w:r>
    </w:p>
    <w:p w:rsidR="00343C48" w:rsidRPr="00B46BCB" w:rsidRDefault="00343C48" w:rsidP="001234C1">
      <w:pPr>
        <w:pStyle w:val="ListParagraph"/>
        <w:numPr>
          <w:ilvl w:val="0"/>
          <w:numId w:val="6"/>
        </w:numPr>
        <w:spacing w:before="120"/>
        <w:jc w:val="both"/>
        <w:rPr>
          <w:rFonts w:asciiTheme="minorHAnsi" w:hAnsiTheme="minorHAnsi"/>
        </w:rPr>
      </w:pPr>
      <w:r w:rsidRPr="00B46BCB">
        <w:rPr>
          <w:rFonts w:asciiTheme="minorHAnsi" w:hAnsiTheme="minorHAnsi"/>
        </w:rPr>
        <w:t>Ls 40 726 apjomā kvalitatīvas sēklas sagatavošanai un izmantošanai;</w:t>
      </w:r>
    </w:p>
    <w:p w:rsidR="00343C48" w:rsidRDefault="00343C48" w:rsidP="001234C1">
      <w:pPr>
        <w:pStyle w:val="ListParagraph"/>
        <w:numPr>
          <w:ilvl w:val="0"/>
          <w:numId w:val="6"/>
        </w:numPr>
        <w:spacing w:before="120"/>
        <w:jc w:val="both"/>
        <w:rPr>
          <w:rFonts w:asciiTheme="minorHAnsi" w:hAnsiTheme="minorHAnsi"/>
        </w:rPr>
      </w:pPr>
      <w:r w:rsidRPr="00B46BCB">
        <w:rPr>
          <w:rFonts w:asciiTheme="minorHAnsi" w:hAnsiTheme="minorHAnsi"/>
        </w:rPr>
        <w:t>Ls 45135 augsnes minerālā slāpekļa monitoringa īstenošanai.</w:t>
      </w:r>
    </w:p>
    <w:p w:rsidR="00B46BCB" w:rsidRPr="00B46BCB" w:rsidRDefault="00B46BCB" w:rsidP="00511419">
      <w:pPr>
        <w:pStyle w:val="ListParagraph"/>
        <w:spacing w:before="120"/>
        <w:ind w:left="945"/>
        <w:jc w:val="both"/>
        <w:rPr>
          <w:rFonts w:asciiTheme="minorHAnsi" w:hAnsiTheme="minorHAnsi"/>
        </w:rPr>
      </w:pPr>
    </w:p>
    <w:p w:rsidR="00343C48" w:rsidRPr="0095132F" w:rsidRDefault="00343C48" w:rsidP="001234C1">
      <w:pPr>
        <w:pStyle w:val="ListParagraph"/>
        <w:widowControl w:val="0"/>
        <w:numPr>
          <w:ilvl w:val="0"/>
          <w:numId w:val="5"/>
        </w:numPr>
        <w:spacing w:before="120"/>
        <w:jc w:val="both"/>
        <w:rPr>
          <w:rFonts w:asciiTheme="minorHAnsi" w:hAnsiTheme="minorHAnsi"/>
        </w:rPr>
      </w:pPr>
      <w:r w:rsidRPr="0095132F">
        <w:rPr>
          <w:rFonts w:asciiTheme="minorHAnsi" w:hAnsiTheme="minorHAnsi"/>
        </w:rPr>
        <w:t>Tehnisko palīdzību no budžeta apakšprogrammas 65.05.00 ”Tehniskā palīdzība Eiropas lauksaimniecības fonda lauku attīstībai (ELFLA) apgūšanai (2007.-2013)” Ls 147 908 apmērā, tai skaitā:</w:t>
      </w:r>
    </w:p>
    <w:p w:rsidR="00343C48" w:rsidRPr="00B46BCB" w:rsidRDefault="00343C48" w:rsidP="001234C1">
      <w:pPr>
        <w:pStyle w:val="ListParagraph"/>
        <w:numPr>
          <w:ilvl w:val="0"/>
          <w:numId w:val="6"/>
        </w:numPr>
        <w:spacing w:before="120"/>
        <w:jc w:val="both"/>
        <w:rPr>
          <w:rFonts w:asciiTheme="minorHAnsi" w:hAnsiTheme="minorHAnsi"/>
        </w:rPr>
      </w:pPr>
      <w:r w:rsidRPr="00B46BCB">
        <w:rPr>
          <w:rFonts w:asciiTheme="minorHAnsi" w:hAnsiTheme="minorHAnsi"/>
        </w:rPr>
        <w:t>Ls 80 000 augšņu agroķīmiskai izpētei, lai iegūtu informāciju par reprezentatīvas lauku saimniecību izlases kopas 10 000 ha platībā;</w:t>
      </w:r>
    </w:p>
    <w:p w:rsidR="00343C48" w:rsidRPr="00B46BCB" w:rsidRDefault="00343C48" w:rsidP="001234C1">
      <w:pPr>
        <w:pStyle w:val="ListParagraph"/>
        <w:numPr>
          <w:ilvl w:val="0"/>
          <w:numId w:val="6"/>
        </w:numPr>
        <w:spacing w:before="120"/>
        <w:jc w:val="both"/>
        <w:rPr>
          <w:rFonts w:asciiTheme="minorHAnsi" w:hAnsiTheme="minorHAnsi"/>
        </w:rPr>
      </w:pPr>
      <w:r w:rsidRPr="00B46BCB">
        <w:rPr>
          <w:rFonts w:asciiTheme="minorHAnsi" w:hAnsiTheme="minorHAnsi"/>
        </w:rPr>
        <w:t>Ls 53 000 Nacionālās fitosanitārās laboratorijas siltumnīcas pirmās kārtas renovācijai;</w:t>
      </w:r>
    </w:p>
    <w:p w:rsidR="00343C48" w:rsidRPr="00B46BCB" w:rsidRDefault="00343C48" w:rsidP="001234C1">
      <w:pPr>
        <w:pStyle w:val="ListParagraph"/>
        <w:numPr>
          <w:ilvl w:val="0"/>
          <w:numId w:val="6"/>
        </w:numPr>
        <w:spacing w:before="120"/>
        <w:jc w:val="both"/>
        <w:rPr>
          <w:rFonts w:asciiTheme="minorHAnsi" w:hAnsiTheme="minorHAnsi"/>
        </w:rPr>
      </w:pPr>
      <w:r w:rsidRPr="00B46BCB">
        <w:rPr>
          <w:rFonts w:asciiTheme="minorHAnsi" w:hAnsiTheme="minorHAnsi"/>
        </w:rPr>
        <w:t>Ls 14 908, lai ieviestu izmaiņas Kultūraugu uzraudzības valsts informācijas sistēmā (KUVIS) sadarbspēju nodrošināšanai starp zemkopības nozarē paredzētajiem koplietošanas risinājumiem un nodrošinātu savstarpēju datu apmaiņu.</w:t>
      </w:r>
    </w:p>
    <w:p w:rsidR="00343C48" w:rsidRPr="00B46BCB" w:rsidRDefault="00343C48" w:rsidP="001234C1">
      <w:pPr>
        <w:pStyle w:val="ListParagraph"/>
        <w:widowControl w:val="0"/>
        <w:numPr>
          <w:ilvl w:val="0"/>
          <w:numId w:val="5"/>
        </w:numPr>
        <w:spacing w:before="120"/>
        <w:jc w:val="both"/>
        <w:rPr>
          <w:rFonts w:asciiTheme="minorHAnsi" w:hAnsiTheme="minorHAnsi"/>
        </w:rPr>
      </w:pPr>
      <w:r w:rsidRPr="00B46BCB">
        <w:rPr>
          <w:rFonts w:asciiTheme="minorHAnsi" w:hAnsiTheme="minorHAnsi"/>
        </w:rPr>
        <w:t xml:space="preserve">Līdzekļus Ls 44 466 apmērā budžeta programmā 99.00.00. „Līdzekļi neparedzētiem gadījumiem”, lai no 2012.gada 1.jūlija nodrošinātu Ziemeļatlantijas līguma organizācijas (NATO) vajadzībām nepieciešamo tranzīta kravu augu un augu produktu </w:t>
      </w:r>
      <w:r w:rsidRPr="00B46BCB">
        <w:rPr>
          <w:rFonts w:asciiTheme="minorHAnsi" w:hAnsiTheme="minorHAnsi"/>
        </w:rPr>
        <w:lastRenderedPageBreak/>
        <w:t xml:space="preserve">fitosanitāro kontroli saskaņā ar MK 2012.gada 4.jūlija Rīkojumu Nr.301 „Par finanšu līdzekļu piešķiršanu no valsts budžeta programmas "Līdzekļi neparedzētiem gadījumiem"”. Līdzekļi izlietoti fitosanitārās kontroles punkta iekārtošanai Starptautiskajā lidostā "Rīga", kā arī nodrošināta tā turpmākā darbība diennakts režīmā. </w:t>
      </w:r>
    </w:p>
    <w:p w:rsidR="00343C48" w:rsidRPr="00B46BCB" w:rsidRDefault="00343C48" w:rsidP="001234C1">
      <w:pPr>
        <w:pStyle w:val="ListParagraph"/>
        <w:widowControl w:val="0"/>
        <w:numPr>
          <w:ilvl w:val="0"/>
          <w:numId w:val="5"/>
        </w:numPr>
        <w:spacing w:before="120"/>
        <w:jc w:val="both"/>
        <w:rPr>
          <w:rFonts w:asciiTheme="minorHAnsi" w:hAnsiTheme="minorHAnsi"/>
        </w:rPr>
      </w:pPr>
      <w:r w:rsidRPr="00B46BCB">
        <w:rPr>
          <w:rFonts w:asciiTheme="minorHAnsi" w:hAnsiTheme="minorHAnsi"/>
        </w:rPr>
        <w:t>Ls 9150 budžeta apakšprogrammā 70.06.00. „Izdevumi citu Eiropas Savienības politikas instrumentu projektu un pasākumu īstenošanai” pasākuma „Ukrainas atbalsts pietuvinot tās fitosanitāro jomu regulējošo likumdošanu un pārvaldi Eiropas standartiem” (</w:t>
      </w:r>
      <w:proofErr w:type="spellStart"/>
      <w:r w:rsidRPr="00B46BCB">
        <w:rPr>
          <w:rFonts w:asciiTheme="minorHAnsi" w:hAnsiTheme="minorHAnsi"/>
        </w:rPr>
        <w:t>Twinning</w:t>
      </w:r>
      <w:proofErr w:type="spellEnd"/>
      <w:r w:rsidRPr="00B46BCB">
        <w:rPr>
          <w:rFonts w:asciiTheme="minorHAnsi" w:hAnsiTheme="minorHAnsi"/>
        </w:rPr>
        <w:t xml:space="preserve"> ref:UA11/ENP/-PCA/HE/32”), ietvaros.</w:t>
      </w:r>
    </w:p>
    <w:p w:rsidR="00343C48" w:rsidRPr="00B46BCB" w:rsidRDefault="00343C48" w:rsidP="00511419">
      <w:pPr>
        <w:widowControl w:val="0"/>
        <w:spacing w:before="120"/>
        <w:jc w:val="both"/>
        <w:rPr>
          <w:rFonts w:asciiTheme="minorHAnsi" w:hAnsiTheme="minorHAnsi"/>
        </w:rPr>
      </w:pPr>
      <w:r w:rsidRPr="00B46BCB">
        <w:rPr>
          <w:rFonts w:asciiTheme="minorHAnsi" w:hAnsiTheme="minorHAnsi"/>
        </w:rPr>
        <w:t>Programmas 27.00.00 „Augu veselība un augu aprites uzraudzība” ietvaros, apakšprogrammas 21.01.”Valsts atbalsts lauksaimniecības un lauku attīstībai” ietvaros un apakšprogrammas 65.05.00 ”Tehniskā palīdzība Eiropas lauksaimniecības fonda lauku attīstībai (ELFLA) apgūšanai (2007.-2013)”, programmā 99.00.00.„Līdzekļi neparedzētiem gadījumiem”, apakšprogrammā 70.06.00. „Izdevumi citu Eiropas Savienības politikas instrumentu projektu un pasākumu īstenošanai” pasākuma „Ukrainas atbalsts pietuvinot tās fitosanitāro jomu regulējošo likumdošanu un pārvaldi Eiropas standartiem” 2012.gadā</w:t>
      </w:r>
      <w:proofErr w:type="gramStart"/>
      <w:r w:rsidRPr="00B46BCB">
        <w:rPr>
          <w:rFonts w:asciiTheme="minorHAnsi" w:hAnsiTheme="minorHAnsi"/>
        </w:rPr>
        <w:t xml:space="preserve">  </w:t>
      </w:r>
      <w:proofErr w:type="gramEnd"/>
      <w:r w:rsidRPr="00B46BCB">
        <w:rPr>
          <w:rFonts w:asciiTheme="minorHAnsi" w:hAnsiTheme="minorHAnsi"/>
        </w:rPr>
        <w:t>izlietoti līdzekļi Ls 2 781 690, kas 99,5 % no plānotā.</w:t>
      </w:r>
    </w:p>
    <w:p w:rsidR="00615043" w:rsidRDefault="00615043" w:rsidP="00615043">
      <w:pPr>
        <w:widowControl w:val="0"/>
        <w:shd w:val="clear" w:color="auto" w:fill="FDE9D9" w:themeFill="accent6" w:themeFillTint="33"/>
        <w:jc w:val="both"/>
        <w:rPr>
          <w:rFonts w:asciiTheme="minorHAnsi" w:hAnsiTheme="minorHAnsi"/>
        </w:rPr>
      </w:pPr>
    </w:p>
    <w:p w:rsidR="00511419" w:rsidRPr="00511419" w:rsidRDefault="00343C48" w:rsidP="00615043">
      <w:pPr>
        <w:widowControl w:val="0"/>
        <w:shd w:val="clear" w:color="auto" w:fill="FDE9D9" w:themeFill="accent6" w:themeFillTint="33"/>
        <w:jc w:val="both"/>
        <w:rPr>
          <w:rFonts w:asciiTheme="minorHAnsi" w:hAnsiTheme="minorHAnsi"/>
        </w:rPr>
      </w:pPr>
      <w:r w:rsidRPr="00511419">
        <w:rPr>
          <w:rFonts w:asciiTheme="minorHAnsi" w:hAnsiTheme="minorHAnsi"/>
        </w:rPr>
        <w:t> </w:t>
      </w:r>
      <w:r w:rsidR="00511419" w:rsidRPr="00511419">
        <w:rPr>
          <w:rFonts w:asciiTheme="minorHAnsi" w:hAnsiTheme="minorHAnsi"/>
        </w:rPr>
        <w:t>Programmā 27.00.00. „Augu veselība un augu aprites uzraudzība”</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2012.gadā dotācija no vispārējiem ieņēmumiem salīdzinot ar 2011.gadu palielinājusies par Ls 91495 vai par 6,2 % sakarā ar 2012.gada budžeta grozījumos papildus piešķirtajiem līdzekļiem.</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 xml:space="preserve">2012.gadā ieņēmumi no maksas pakalpojumiem sastādīja Ls 880 182, kuri salīdzinot ar iepriekšējo gadu palielinājušies par Ls 236 159 vai par 36,6 %, sakarā ar izmaiņām AAL reģistrācijas kārtībā, maksas pakalpojumu izcenojumu maiņu, ieņēmumiem par veiktajām fitosanitārajām pārbaudēm un izsniegtajiem fitosanitārajiem sertifikātiem. </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Izdevumi atalgojumiem tika izlietoti 100%.</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Izdevumi precēm un pakalpojumiem nav apgūti par Ls 86100, sakarā ar neieņemtiem ieņēmumiem no maksas pakalpojumiem.</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Izdevumu kapitālieguldījumiem apgūti 100%.</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 xml:space="preserve">Izdevumi 2012.gadā salīdzinot ar iepriekšējo gadu palielinājušies par Ls 464 752 vai par 22,6%, sakarā ar augu un augu produktu eksporta kravu pārbaužu palielināšanos, sertifikātu izsniegšanu eksportam un AAL novērtējumu skaita palielināšanos. </w:t>
      </w:r>
    </w:p>
    <w:p w:rsidR="009C3E9F" w:rsidRDefault="00511419" w:rsidP="00511419">
      <w:pPr>
        <w:widowControl w:val="0"/>
        <w:spacing w:before="120"/>
        <w:jc w:val="both"/>
        <w:rPr>
          <w:rFonts w:asciiTheme="minorHAnsi" w:hAnsiTheme="minorHAnsi"/>
        </w:rPr>
      </w:pPr>
      <w:r w:rsidRPr="00511419">
        <w:rPr>
          <w:rFonts w:asciiTheme="minorHAnsi" w:hAnsiTheme="minorHAnsi"/>
        </w:rPr>
        <w:t xml:space="preserve">Lai nodrošinātu statistisku par pesticīdu izmantošanu lauksaimniecības kultūrām saskaņā </w:t>
      </w:r>
      <w:proofErr w:type="gramStart"/>
      <w:r w:rsidRPr="00511419">
        <w:rPr>
          <w:rFonts w:asciiTheme="minorHAnsi" w:hAnsiTheme="minorHAnsi"/>
        </w:rPr>
        <w:t>ar Eiropas Parlamenta un Padomes</w:t>
      </w:r>
      <w:proofErr w:type="gramEnd"/>
      <w:r w:rsidRPr="00511419">
        <w:rPr>
          <w:rFonts w:asciiTheme="minorHAnsi" w:hAnsiTheme="minorHAnsi"/>
        </w:rPr>
        <w:t xml:space="preserve"> 2009.gada 25.novembra Regulas (EK) Nr.1185/2009 2.pielikumu, tika veikti apsekojumi statistikas datu ieguvi no 4000 Centrālās statistikas Pārvaldes atlasītām lauku saimniecībām, iegūstot datus par pesticīdu pielietošanu graudaugu kultūrām un rapsim. </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2012.gadā tika izlietots konta atlikums Ls 76 182, kuri atradās deponētās naudas kontā un tika izmantoti atlīdzībai.</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Izdevumi par precēm un pakalpojumiem salīdzinot ar 2011.gadu palielinājušies par Ls 74 467 vai par 10,9%, jo sakarā ar augu un augu produktu eksporta palielināšanos bija nepieciešams veikt vairāk fitosanitārās pārbaudes un izsniegt fitosanitāros sertifikātus.</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 xml:space="preserve">Izdevumi kapitālajiem ieguldījumiem salīdzinot ar 2011.gadu palielinājušies par Ls 151 099. </w:t>
      </w:r>
      <w:r w:rsidRPr="00511419">
        <w:rPr>
          <w:rFonts w:asciiTheme="minorHAnsi" w:hAnsiTheme="minorHAnsi"/>
        </w:rPr>
        <w:lastRenderedPageBreak/>
        <w:t xml:space="preserve">Ar budžeta grozījumiem 2012.gadā tika piešķirti papildus līdzekļi, par kuriem tika iegādātas jaunas automašīnas Ls 96 513 apmērā. </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 xml:space="preserve">Uz 2013.gada 1.janvāri kontā ir palicis atlikums no ieņēmumiem par maksas pakalpojumiem Ls 16 920, kas bija paredzēti precēm un pakalpojumiem, bet sakarā ar to, ka kontā tika ieskaitīti 2012.gada decembra beigās, tie netika izmantoti. </w:t>
      </w:r>
    </w:p>
    <w:p w:rsidR="00511419" w:rsidRPr="00415F43" w:rsidRDefault="00511419" w:rsidP="00511419">
      <w:pPr>
        <w:widowControl w:val="0"/>
        <w:shd w:val="clear" w:color="auto" w:fill="FDE9D9" w:themeFill="accent6" w:themeFillTint="33"/>
        <w:spacing w:before="120"/>
        <w:jc w:val="both"/>
        <w:rPr>
          <w:rFonts w:asciiTheme="minorHAnsi" w:hAnsiTheme="minorHAnsi"/>
        </w:rPr>
      </w:pPr>
      <w:r w:rsidRPr="00415F43">
        <w:rPr>
          <w:rFonts w:asciiTheme="minorHAnsi" w:hAnsiTheme="minorHAnsi"/>
        </w:rPr>
        <w:t>Programmā 21.01.00. „Valsts atbalsts lauksaimniecības un lauku attīstībai”</w:t>
      </w:r>
    </w:p>
    <w:p w:rsidR="00511419" w:rsidRPr="00415F43" w:rsidRDefault="00511419" w:rsidP="00511419">
      <w:pPr>
        <w:widowControl w:val="0"/>
        <w:spacing w:before="120"/>
        <w:rPr>
          <w:rFonts w:asciiTheme="minorHAnsi" w:hAnsiTheme="minorHAnsi"/>
        </w:rPr>
      </w:pPr>
      <w:r w:rsidRPr="00415F43">
        <w:rPr>
          <w:rFonts w:asciiTheme="minorHAnsi" w:hAnsiTheme="minorHAnsi"/>
        </w:rPr>
        <w:t xml:space="preserve"> 2012.gadā izlietoti Ls 85 861 apjomā, kas ir 100% no plānotā. </w:t>
      </w:r>
    </w:p>
    <w:p w:rsidR="00511419" w:rsidRPr="00415F43" w:rsidRDefault="00511419" w:rsidP="00511419">
      <w:pPr>
        <w:widowControl w:val="0"/>
        <w:shd w:val="clear" w:color="auto" w:fill="FDE9D9" w:themeFill="accent6" w:themeFillTint="33"/>
        <w:spacing w:before="120"/>
        <w:jc w:val="both"/>
        <w:rPr>
          <w:rFonts w:asciiTheme="minorHAnsi" w:hAnsiTheme="minorHAnsi"/>
        </w:rPr>
      </w:pPr>
      <w:r w:rsidRPr="00415F43">
        <w:rPr>
          <w:rFonts w:asciiTheme="minorHAnsi" w:hAnsiTheme="minorHAnsi"/>
        </w:rPr>
        <w:t xml:space="preserve">99.00.00. „Līdzekļi neparedzētiem gadījumiem” </w:t>
      </w:r>
    </w:p>
    <w:p w:rsidR="00511419" w:rsidRPr="00415F43" w:rsidRDefault="00511419" w:rsidP="00511419">
      <w:pPr>
        <w:widowControl w:val="0"/>
        <w:spacing w:before="120"/>
        <w:rPr>
          <w:rFonts w:asciiTheme="minorHAnsi" w:hAnsiTheme="minorHAnsi"/>
        </w:rPr>
      </w:pPr>
      <w:r w:rsidRPr="00415F43">
        <w:rPr>
          <w:rFonts w:asciiTheme="minorHAnsi" w:hAnsiTheme="minorHAnsi"/>
        </w:rPr>
        <w:t> 2012.gadā apgūti Ls 44 466 un tas ir 100% no plānotā.</w:t>
      </w:r>
    </w:p>
    <w:p w:rsidR="00511419" w:rsidRPr="00511419" w:rsidRDefault="00511419" w:rsidP="00511419">
      <w:pPr>
        <w:widowControl w:val="0"/>
        <w:shd w:val="clear" w:color="auto" w:fill="FDE9D9" w:themeFill="accent6" w:themeFillTint="33"/>
        <w:spacing w:before="120"/>
        <w:jc w:val="both"/>
        <w:rPr>
          <w:rFonts w:asciiTheme="minorHAnsi" w:hAnsiTheme="minorHAnsi"/>
        </w:rPr>
      </w:pPr>
      <w:r w:rsidRPr="00415F43">
        <w:rPr>
          <w:rFonts w:asciiTheme="minorHAnsi" w:hAnsiTheme="minorHAnsi"/>
        </w:rPr>
        <w:t> 65.00.00. „Eiropas Lauksaimniecības fonda lauku attīstībai (ELFLA) projektu un pasākumu</w:t>
      </w:r>
      <w:r>
        <w:rPr>
          <w:rFonts w:asciiTheme="minorHAnsi" w:hAnsiTheme="minorHAnsi"/>
        </w:rPr>
        <w:t xml:space="preserve"> īstenošana” </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Apakšprogrammā 65.05.00. „Tehniskā palīdzība Eiropas Lauksaimniecības fonda lauku attīstībai (ELFLA) apgūšanai (2007-2013) ietvaros 2012.gadā apgūti Ls 120 809, tas ir 100% no plānotā.</w:t>
      </w:r>
    </w:p>
    <w:p w:rsidR="00511419" w:rsidRPr="00511419" w:rsidRDefault="00511419" w:rsidP="00511419">
      <w:pPr>
        <w:widowControl w:val="0"/>
        <w:spacing w:before="120"/>
        <w:jc w:val="both"/>
        <w:rPr>
          <w:rFonts w:asciiTheme="minorHAnsi" w:hAnsiTheme="minorHAnsi"/>
        </w:rPr>
      </w:pPr>
      <w:r w:rsidRPr="00511419">
        <w:rPr>
          <w:rFonts w:asciiTheme="minorHAnsi" w:hAnsiTheme="minorHAnsi"/>
        </w:rPr>
        <w:t>2012.gadā tika īstenoti šādi pasākumi:</w:t>
      </w:r>
    </w:p>
    <w:p w:rsidR="00511419" w:rsidRPr="00511419" w:rsidRDefault="00511419" w:rsidP="001234C1">
      <w:pPr>
        <w:pStyle w:val="ListParagraph"/>
        <w:widowControl w:val="0"/>
        <w:numPr>
          <w:ilvl w:val="0"/>
          <w:numId w:val="7"/>
        </w:numPr>
        <w:spacing w:before="120"/>
        <w:jc w:val="both"/>
        <w:rPr>
          <w:rFonts w:asciiTheme="minorHAnsi" w:hAnsiTheme="minorHAnsi"/>
        </w:rPr>
      </w:pPr>
      <w:r w:rsidRPr="00511419">
        <w:rPr>
          <w:rFonts w:asciiTheme="minorHAnsi" w:hAnsiTheme="minorHAnsi"/>
        </w:rPr>
        <w:t>Iegūta informāciju par augšņu auglības agroķīmiskajiem rādītājiem reprezentatīvā lauku saimniecību izlases kopā 10 000 ha lielā platībā (Ls 80 000);</w:t>
      </w:r>
    </w:p>
    <w:p w:rsidR="00511419" w:rsidRPr="00511419" w:rsidRDefault="00511419" w:rsidP="001234C1">
      <w:pPr>
        <w:pStyle w:val="ListParagraph"/>
        <w:widowControl w:val="0"/>
        <w:numPr>
          <w:ilvl w:val="0"/>
          <w:numId w:val="7"/>
        </w:numPr>
        <w:spacing w:before="120"/>
        <w:jc w:val="both"/>
        <w:rPr>
          <w:rFonts w:asciiTheme="minorHAnsi" w:hAnsiTheme="minorHAnsi"/>
        </w:rPr>
      </w:pPr>
      <w:r w:rsidRPr="00511419">
        <w:rPr>
          <w:rFonts w:asciiTheme="minorHAnsi" w:hAnsiTheme="minorHAnsi"/>
        </w:rPr>
        <w:t>Uzsākts Ieviest izmaiņas Kultūraugu uzraudzības valsts informācijas sistēmā (KUVIS) sadarbspējas nodrošināšanai starp zemkopības nozarē paredzētajiem koplietošanas risinājumiem un savstarpēju datu apmaiņu (Ls 14 907);</w:t>
      </w:r>
    </w:p>
    <w:p w:rsidR="00511419" w:rsidRPr="00511419" w:rsidRDefault="00511419" w:rsidP="001234C1">
      <w:pPr>
        <w:pStyle w:val="ListParagraph"/>
        <w:widowControl w:val="0"/>
        <w:numPr>
          <w:ilvl w:val="0"/>
          <w:numId w:val="7"/>
        </w:numPr>
        <w:spacing w:before="120"/>
        <w:jc w:val="both"/>
        <w:rPr>
          <w:rFonts w:asciiTheme="minorHAnsi" w:hAnsiTheme="minorHAnsi"/>
        </w:rPr>
      </w:pPr>
      <w:r w:rsidRPr="00511419">
        <w:rPr>
          <w:rFonts w:asciiTheme="minorHAnsi" w:hAnsiTheme="minorHAnsi"/>
        </w:rPr>
        <w:t xml:space="preserve">veikta karantīnas organismu diagnosticēšanas laboratorijas siltumnīcas renovācijas pirmā kārta (Ls 25 902). </w:t>
      </w:r>
    </w:p>
    <w:p w:rsidR="00511419" w:rsidRPr="00511419" w:rsidRDefault="00511419" w:rsidP="00511419">
      <w:pPr>
        <w:widowControl w:val="0"/>
        <w:shd w:val="clear" w:color="auto" w:fill="FDE9D9" w:themeFill="accent6" w:themeFillTint="33"/>
        <w:spacing w:before="120"/>
        <w:jc w:val="both"/>
        <w:rPr>
          <w:rFonts w:asciiTheme="minorHAnsi" w:hAnsiTheme="minorHAnsi"/>
        </w:rPr>
      </w:pPr>
      <w:r w:rsidRPr="00511419">
        <w:rPr>
          <w:rFonts w:asciiTheme="minorHAnsi" w:hAnsiTheme="minorHAnsi"/>
        </w:rPr>
        <w:t>70.06.00. apakšprogrammā „Izdevumi citu Eiropas Savienības politikas instrumentu projektu un pasākumu īstenošanai</w:t>
      </w:r>
      <w:r w:rsidR="00C34B4F">
        <w:rPr>
          <w:rFonts w:asciiTheme="minorHAnsi" w:hAnsiTheme="minorHAnsi"/>
        </w:rPr>
        <w:t>”</w:t>
      </w:r>
      <w:r w:rsidRPr="00511419">
        <w:rPr>
          <w:rFonts w:asciiTheme="minorHAnsi" w:hAnsiTheme="minorHAnsi"/>
        </w:rPr>
        <w:t xml:space="preserve"> </w:t>
      </w:r>
    </w:p>
    <w:p w:rsidR="00511419" w:rsidRDefault="00511419" w:rsidP="00511419">
      <w:pPr>
        <w:widowControl w:val="0"/>
        <w:spacing w:before="120"/>
        <w:jc w:val="both"/>
        <w:rPr>
          <w:rFonts w:asciiTheme="minorHAnsi" w:hAnsiTheme="minorHAnsi"/>
        </w:rPr>
      </w:pPr>
      <w:r w:rsidRPr="00511419">
        <w:rPr>
          <w:rFonts w:asciiTheme="minorHAnsi" w:hAnsiTheme="minorHAnsi"/>
        </w:rPr>
        <w:t>pasākumam „Ukrainas atbalsts pietuvinot tās fitosanitāro jomu regulējošo likumdošanu un pārvaldi Eiropas standartiem (</w:t>
      </w:r>
      <w:proofErr w:type="spellStart"/>
      <w:r w:rsidRPr="00511419">
        <w:rPr>
          <w:rFonts w:asciiTheme="minorHAnsi" w:hAnsiTheme="minorHAnsi"/>
        </w:rPr>
        <w:t>Twinning</w:t>
      </w:r>
      <w:proofErr w:type="spellEnd"/>
      <w:r w:rsidRPr="00511419">
        <w:rPr>
          <w:rFonts w:asciiTheme="minorHAnsi" w:hAnsiTheme="minorHAnsi"/>
        </w:rPr>
        <w:t xml:space="preserve"> ref:UA11/ENP/-PCA/HE/32”), ietvaros 2012.gadā apgūti Ls 5180, tas ir 56,5% no plānotā, sakarā ar to, ka 2012.gadā netika veiktas plānotās izmaiņas līgumā, kā arī netika ieskaitīts plānotais ārvalstu finansējums saskaņā ar izrakstītajiem rēķiniem. Neapgūtais finansējums pārcelts uz 2013.gadu.</w:t>
      </w:r>
    </w:p>
    <w:p w:rsidR="00511419" w:rsidRPr="00511419" w:rsidRDefault="00511419" w:rsidP="00555E71">
      <w:pPr>
        <w:widowControl w:val="0"/>
        <w:shd w:val="clear" w:color="auto" w:fill="DAEEF3" w:themeFill="accent5" w:themeFillTint="33"/>
        <w:spacing w:before="120"/>
        <w:jc w:val="both"/>
        <w:rPr>
          <w:rFonts w:asciiTheme="minorHAnsi" w:hAnsiTheme="minorHAnsi"/>
        </w:rPr>
      </w:pPr>
      <w:r w:rsidRPr="00511419">
        <w:rPr>
          <w:rFonts w:asciiTheme="minorHAnsi" w:hAnsiTheme="minorHAnsi"/>
        </w:rPr>
        <w:t>Valsts budžeta finansējums un tā izlietojums</w:t>
      </w:r>
    </w:p>
    <w:p w:rsidR="00511419" w:rsidRDefault="00511419" w:rsidP="00511419">
      <w:r>
        <w:t> </w:t>
      </w:r>
      <w:r w:rsidR="007D1896">
        <w:rPr>
          <w:noProof/>
        </w:rPr>
        <mc:AlternateContent>
          <mc:Choice Requires="wps">
            <w:drawing>
              <wp:anchor distT="36576" distB="36576" distL="36576" distR="36576" simplePos="0" relativeHeight="251679744" behindDoc="0" locked="0" layoutInCell="1" allowOverlap="1" wp14:anchorId="6547EA5F" wp14:editId="12F72491">
                <wp:simplePos x="0" y="0"/>
                <wp:positionH relativeFrom="column">
                  <wp:posOffset>460375</wp:posOffset>
                </wp:positionH>
                <wp:positionV relativeFrom="paragraph">
                  <wp:posOffset>1089660</wp:posOffset>
                </wp:positionV>
                <wp:extent cx="6491605" cy="3235325"/>
                <wp:effectExtent l="0" t="0" r="4445" b="317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91605" cy="323532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36.25pt;margin-top:85.8pt;width:511.15pt;height:254.7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Lp5Q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" filled="f" stroked="f" insetpen="t">
                <v:shadow color="#e7dec9"/>
                <o:lock v:ext="edit" shapetype="t"/>
                <v:textbox inset="0,0,0,0"/>
              </v:rect>
            </w:pict>
          </mc:Fallback>
        </mc:AlternateContent>
      </w:r>
    </w:p>
    <w:tbl>
      <w:tblPr>
        <w:tblW w:w="9039" w:type="dxa"/>
        <w:tblCellMar>
          <w:left w:w="0" w:type="dxa"/>
          <w:right w:w="0" w:type="dxa"/>
        </w:tblCellMar>
        <w:tblLook w:val="04A0" w:firstRow="1" w:lastRow="0" w:firstColumn="1" w:lastColumn="0" w:noHBand="0" w:noVBand="1"/>
      </w:tblPr>
      <w:tblGrid>
        <w:gridCol w:w="796"/>
        <w:gridCol w:w="3801"/>
        <w:gridCol w:w="1439"/>
        <w:gridCol w:w="1443"/>
        <w:gridCol w:w="1560"/>
      </w:tblGrid>
      <w:tr w:rsidR="00511419" w:rsidRPr="00615043" w:rsidTr="0071052B">
        <w:trPr>
          <w:trHeight w:val="371"/>
        </w:trPr>
        <w:tc>
          <w:tcPr>
            <w:tcW w:w="796" w:type="dxa"/>
            <w:vMerge w:val="restart"/>
            <w:tcBorders>
              <w:top w:val="single" w:sz="8" w:space="0" w:color="3891A7"/>
              <w:bottom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rPr>
                <w:rFonts w:asciiTheme="minorHAnsi" w:hAnsiTheme="minorHAnsi"/>
                <w:b/>
                <w:bCs/>
                <w:kern w:val="28"/>
                <w:sz w:val="20"/>
                <w:szCs w:val="20"/>
              </w:rPr>
            </w:pPr>
            <w:r w:rsidRPr="00615043">
              <w:rPr>
                <w:rFonts w:asciiTheme="minorHAnsi" w:hAnsiTheme="minorHAnsi"/>
                <w:b/>
                <w:bCs/>
                <w:sz w:val="20"/>
                <w:szCs w:val="20"/>
              </w:rPr>
              <w:t>Nr.</w:t>
            </w:r>
          </w:p>
          <w:p w:rsidR="00511419" w:rsidRPr="00615043" w:rsidRDefault="00511419">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p.k.</w:t>
            </w:r>
          </w:p>
        </w:tc>
        <w:tc>
          <w:tcPr>
            <w:tcW w:w="3801" w:type="dxa"/>
            <w:vMerge w:val="restart"/>
            <w:tcBorders>
              <w:top w:val="single" w:sz="8" w:space="0" w:color="3891A7"/>
              <w:bottom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Finanšu līdzekļi</w:t>
            </w:r>
          </w:p>
        </w:tc>
        <w:tc>
          <w:tcPr>
            <w:tcW w:w="1439" w:type="dxa"/>
            <w:vMerge w:val="restart"/>
            <w:tcBorders>
              <w:top w:val="single" w:sz="8" w:space="0" w:color="3891A7"/>
              <w:bottom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Iepriekšējā gadā (2011.g.) (faktiskā izpilde)</w:t>
            </w:r>
          </w:p>
        </w:tc>
        <w:tc>
          <w:tcPr>
            <w:tcW w:w="3003" w:type="dxa"/>
            <w:gridSpan w:val="2"/>
            <w:tcBorders>
              <w:top w:val="single" w:sz="8" w:space="0" w:color="3891A7"/>
              <w:bottom w:val="single" w:sz="8" w:space="0" w:color="3891A7"/>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Pārskata gadā (2012.g.)</w:t>
            </w:r>
          </w:p>
        </w:tc>
      </w:tr>
      <w:tr w:rsidR="00511419" w:rsidRPr="00615043" w:rsidTr="0071052B">
        <w:trPr>
          <w:trHeight w:val="538"/>
        </w:trPr>
        <w:tc>
          <w:tcPr>
            <w:tcW w:w="0" w:type="auto"/>
            <w:vMerge/>
            <w:tcBorders>
              <w:top w:val="single" w:sz="8" w:space="0" w:color="3891A7"/>
              <w:bottom w:val="single" w:sz="8" w:space="0" w:color="2A6D7E"/>
            </w:tcBorders>
            <w:vAlign w:val="center"/>
            <w:hideMark/>
          </w:tcPr>
          <w:p w:rsidR="00511419" w:rsidRPr="00615043" w:rsidRDefault="00511419">
            <w:pPr>
              <w:rPr>
                <w:rFonts w:ascii="Calibri" w:hAnsi="Calibri"/>
                <w:b/>
                <w:bCs/>
                <w:kern w:val="28"/>
                <w:sz w:val="20"/>
                <w:szCs w:val="20"/>
              </w:rPr>
            </w:pPr>
          </w:p>
        </w:tc>
        <w:tc>
          <w:tcPr>
            <w:tcW w:w="0" w:type="auto"/>
            <w:vMerge/>
            <w:tcBorders>
              <w:top w:val="single" w:sz="8" w:space="0" w:color="3891A7"/>
              <w:bottom w:val="single" w:sz="8" w:space="0" w:color="2A6D7E"/>
            </w:tcBorders>
            <w:vAlign w:val="center"/>
            <w:hideMark/>
          </w:tcPr>
          <w:p w:rsidR="00511419" w:rsidRPr="00615043" w:rsidRDefault="00511419">
            <w:pPr>
              <w:rPr>
                <w:rFonts w:ascii="Calibri" w:hAnsi="Calibri"/>
                <w:b/>
                <w:bCs/>
                <w:kern w:val="28"/>
                <w:sz w:val="20"/>
                <w:szCs w:val="20"/>
              </w:rPr>
            </w:pPr>
          </w:p>
        </w:tc>
        <w:tc>
          <w:tcPr>
            <w:tcW w:w="0" w:type="auto"/>
            <w:vMerge/>
            <w:tcBorders>
              <w:top w:val="single" w:sz="8" w:space="0" w:color="3891A7"/>
              <w:bottom w:val="single" w:sz="8" w:space="0" w:color="2A6D7E"/>
            </w:tcBorders>
            <w:vAlign w:val="center"/>
            <w:hideMark/>
          </w:tcPr>
          <w:p w:rsidR="00511419" w:rsidRPr="00615043" w:rsidRDefault="00511419">
            <w:pPr>
              <w:rPr>
                <w:rFonts w:ascii="Calibri" w:hAnsi="Calibri"/>
                <w:b/>
                <w:bCs/>
                <w:kern w:val="28"/>
                <w:sz w:val="20"/>
                <w:szCs w:val="20"/>
              </w:rPr>
            </w:pPr>
          </w:p>
        </w:tc>
        <w:tc>
          <w:tcPr>
            <w:tcW w:w="1443" w:type="dxa"/>
            <w:tcBorders>
              <w:top w:val="single" w:sz="8" w:space="0" w:color="3891A7"/>
              <w:bottom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apstiprināts likumā</w:t>
            </w:r>
          </w:p>
        </w:tc>
        <w:tc>
          <w:tcPr>
            <w:tcW w:w="1560" w:type="dxa"/>
            <w:tcBorders>
              <w:top w:val="single" w:sz="8" w:space="0" w:color="3891A7"/>
              <w:bottom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faktiskā izpilde</w:t>
            </w:r>
          </w:p>
        </w:tc>
      </w:tr>
      <w:tr w:rsidR="00511419" w:rsidRPr="00615043" w:rsidTr="0071052B">
        <w:trPr>
          <w:trHeight w:val="485"/>
        </w:trPr>
        <w:tc>
          <w:tcPr>
            <w:tcW w:w="796" w:type="dxa"/>
            <w:tcBorders>
              <w:top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w:t>
            </w:r>
          </w:p>
        </w:tc>
        <w:tc>
          <w:tcPr>
            <w:tcW w:w="3801" w:type="dxa"/>
            <w:tcBorders>
              <w:top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Finanšu resursi izdevumu segšanai (kopā)</w:t>
            </w:r>
          </w:p>
        </w:tc>
        <w:tc>
          <w:tcPr>
            <w:tcW w:w="1439" w:type="dxa"/>
            <w:tcBorders>
              <w:top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2203317</w:t>
            </w:r>
          </w:p>
        </w:tc>
        <w:tc>
          <w:tcPr>
            <w:tcW w:w="1443" w:type="dxa"/>
            <w:tcBorders>
              <w:top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2795576</w:t>
            </w:r>
          </w:p>
        </w:tc>
        <w:tc>
          <w:tcPr>
            <w:tcW w:w="1560" w:type="dxa"/>
            <w:tcBorders>
              <w:top w:val="single" w:sz="8" w:space="0" w:color="2A6D7E"/>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2722426</w:t>
            </w:r>
          </w:p>
        </w:tc>
      </w:tr>
      <w:tr w:rsidR="00511419" w:rsidRPr="00615043" w:rsidTr="0071052B">
        <w:trPr>
          <w:trHeight w:val="417"/>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1.1.</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dotācijas</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1558888</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1813658</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1813658</w:t>
            </w:r>
          </w:p>
        </w:tc>
      </w:tr>
      <w:tr w:rsidR="00511419" w:rsidRPr="00615043" w:rsidTr="0071052B">
        <w:trPr>
          <w:trHeight w:val="417"/>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1.2.</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maksas pakalpojumi un citi pašu ieņēmumi</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644429</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949768</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880588</w:t>
            </w:r>
          </w:p>
        </w:tc>
      </w:tr>
      <w:tr w:rsidR="00511419" w:rsidRPr="00615043" w:rsidTr="0071052B">
        <w:trPr>
          <w:trHeight w:val="375"/>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1.3.</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ārvalstu finanšu palīdzība</w:t>
            </w:r>
          </w:p>
        </w:tc>
        <w:tc>
          <w:tcPr>
            <w:tcW w:w="1439" w:type="dxa"/>
            <w:shd w:val="clear" w:color="auto" w:fill="FFFFFF"/>
            <w:tcMar>
              <w:top w:w="0" w:type="dxa"/>
              <w:left w:w="108" w:type="dxa"/>
              <w:bottom w:w="0" w:type="dxa"/>
              <w:right w:w="108" w:type="dxa"/>
            </w:tcMar>
            <w:hideMark/>
          </w:tcPr>
          <w:p w:rsidR="00511419" w:rsidRPr="00615043" w:rsidRDefault="00511419" w:rsidP="00BB01B5">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0</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9150</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5180</w:t>
            </w:r>
          </w:p>
        </w:tc>
      </w:tr>
      <w:tr w:rsidR="00511419" w:rsidRPr="00615043" w:rsidTr="0071052B">
        <w:trPr>
          <w:trHeight w:val="388"/>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1.4</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transferti</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0</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23000</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23000</w:t>
            </w:r>
          </w:p>
        </w:tc>
      </w:tr>
      <w:tr w:rsidR="00511419" w:rsidRPr="00615043" w:rsidTr="0071052B">
        <w:trPr>
          <w:trHeight w:val="409"/>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lastRenderedPageBreak/>
              <w:t>2.</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Izdevumi (kopā)</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2148482</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2871757</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2781690</w:t>
            </w:r>
          </w:p>
        </w:tc>
      </w:tr>
      <w:tr w:rsidR="00511419" w:rsidRPr="00615043" w:rsidTr="0071052B">
        <w:trPr>
          <w:trHeight w:val="389"/>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2.1.</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Uzturēšanas izdevumi (kopā)</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2113399</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2660192</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2570124</w:t>
            </w:r>
          </w:p>
        </w:tc>
      </w:tr>
      <w:tr w:rsidR="00511419" w:rsidRPr="00615043" w:rsidTr="0071052B">
        <w:trPr>
          <w:trHeight w:val="564"/>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2.1.1.</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subsīdijas un dotācijas, tai skaitā iemaksas starptautiskajās organizācijās</w:t>
            </w:r>
          </w:p>
        </w:tc>
        <w:tc>
          <w:tcPr>
            <w:tcW w:w="1439" w:type="dxa"/>
            <w:shd w:val="clear" w:color="auto" w:fill="FFFFFF"/>
            <w:tcMar>
              <w:top w:w="0" w:type="dxa"/>
              <w:left w:w="108" w:type="dxa"/>
              <w:bottom w:w="0" w:type="dxa"/>
              <w:right w:w="108" w:type="dxa"/>
            </w:tcMar>
            <w:hideMark/>
          </w:tcPr>
          <w:p w:rsidR="00511419" w:rsidRPr="00615043" w:rsidRDefault="00BB01B5" w:rsidP="00BB01B5">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0</w:t>
            </w:r>
            <w:proofErr w:type="gramStart"/>
            <w:r w:rsidRPr="00615043">
              <w:rPr>
                <w:rFonts w:asciiTheme="minorHAnsi" w:hAnsiTheme="minorHAnsi"/>
                <w:sz w:val="20"/>
                <w:szCs w:val="20"/>
              </w:rPr>
              <w:t xml:space="preserve">                  </w:t>
            </w:r>
            <w:proofErr w:type="gramEnd"/>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0</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0</w:t>
            </w:r>
          </w:p>
        </w:tc>
      </w:tr>
      <w:tr w:rsidR="00511419" w:rsidRPr="00615043" w:rsidTr="0071052B">
        <w:trPr>
          <w:trHeight w:val="372"/>
        </w:trPr>
        <w:tc>
          <w:tcPr>
            <w:tcW w:w="796"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2.1.2.</w:t>
            </w:r>
          </w:p>
        </w:tc>
        <w:tc>
          <w:tcPr>
            <w:tcW w:w="3801"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pārējie uzturēšanas izdevumi</w:t>
            </w:r>
          </w:p>
        </w:tc>
        <w:tc>
          <w:tcPr>
            <w:tcW w:w="1439"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2113399</w:t>
            </w:r>
          </w:p>
        </w:tc>
        <w:tc>
          <w:tcPr>
            <w:tcW w:w="1443"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2660192</w:t>
            </w:r>
          </w:p>
        </w:tc>
        <w:tc>
          <w:tcPr>
            <w:tcW w:w="1560" w:type="dxa"/>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 xml:space="preserve"> 2570124</w:t>
            </w:r>
          </w:p>
        </w:tc>
      </w:tr>
      <w:tr w:rsidR="00511419" w:rsidRPr="00615043" w:rsidTr="0071052B">
        <w:trPr>
          <w:trHeight w:val="370"/>
        </w:trPr>
        <w:tc>
          <w:tcPr>
            <w:tcW w:w="796" w:type="dxa"/>
            <w:tcBorders>
              <w:bottom w:val="single" w:sz="8" w:space="0" w:color="88BDCA"/>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2.2.</w:t>
            </w:r>
          </w:p>
        </w:tc>
        <w:tc>
          <w:tcPr>
            <w:tcW w:w="3801" w:type="dxa"/>
            <w:tcBorders>
              <w:bottom w:val="single" w:sz="8" w:space="0" w:color="88BDCA"/>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izdevumi kapitālieguldījumiem</w:t>
            </w:r>
          </w:p>
        </w:tc>
        <w:tc>
          <w:tcPr>
            <w:tcW w:w="1439" w:type="dxa"/>
            <w:tcBorders>
              <w:bottom w:val="single" w:sz="8" w:space="0" w:color="88BDCA"/>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35083</w:t>
            </w:r>
          </w:p>
        </w:tc>
        <w:tc>
          <w:tcPr>
            <w:tcW w:w="1443" w:type="dxa"/>
            <w:tcBorders>
              <w:bottom w:val="single" w:sz="8" w:space="0" w:color="88BDCA"/>
            </w:tcBorders>
            <w:shd w:val="clear" w:color="auto" w:fill="FFFFFF"/>
            <w:tcMar>
              <w:top w:w="0" w:type="dxa"/>
              <w:left w:w="108" w:type="dxa"/>
              <w:bottom w:w="0" w:type="dxa"/>
              <w:right w:w="108" w:type="dxa"/>
            </w:tcMar>
            <w:hideMark/>
          </w:tcPr>
          <w:p w:rsidR="00511419" w:rsidRPr="00615043" w:rsidRDefault="00511419">
            <w:pPr>
              <w:widowControl w:val="0"/>
              <w:spacing w:after="120" w:line="285" w:lineRule="auto"/>
              <w:jc w:val="right"/>
              <w:rPr>
                <w:rFonts w:asciiTheme="minorHAnsi" w:hAnsiTheme="minorHAnsi"/>
                <w:kern w:val="28"/>
                <w:sz w:val="20"/>
                <w:szCs w:val="20"/>
              </w:rPr>
            </w:pPr>
            <w:r w:rsidRPr="00615043">
              <w:rPr>
                <w:rFonts w:asciiTheme="minorHAnsi" w:hAnsiTheme="minorHAnsi"/>
                <w:sz w:val="20"/>
                <w:szCs w:val="20"/>
              </w:rPr>
              <w:t>211565</w:t>
            </w:r>
          </w:p>
        </w:tc>
        <w:tc>
          <w:tcPr>
            <w:tcW w:w="1560" w:type="dxa"/>
            <w:tcBorders>
              <w:bottom w:val="single" w:sz="8" w:space="0" w:color="88BDCA"/>
            </w:tcBorders>
            <w:shd w:val="clear" w:color="auto" w:fill="FFFFFF"/>
            <w:tcMar>
              <w:top w:w="0" w:type="dxa"/>
              <w:left w:w="108" w:type="dxa"/>
              <w:bottom w:w="0" w:type="dxa"/>
              <w:right w:w="108" w:type="dxa"/>
            </w:tcMar>
            <w:hideMark/>
          </w:tcPr>
          <w:p w:rsidR="00511419" w:rsidRPr="00615043" w:rsidRDefault="00511419">
            <w:pPr>
              <w:widowControl w:val="0"/>
              <w:spacing w:line="285" w:lineRule="auto"/>
              <w:jc w:val="right"/>
              <w:rPr>
                <w:rFonts w:asciiTheme="minorHAnsi" w:hAnsiTheme="minorHAnsi"/>
                <w:kern w:val="28"/>
                <w:sz w:val="20"/>
                <w:szCs w:val="20"/>
              </w:rPr>
            </w:pPr>
            <w:r w:rsidRPr="00615043">
              <w:rPr>
                <w:rFonts w:asciiTheme="minorHAnsi" w:hAnsiTheme="minorHAnsi"/>
                <w:sz w:val="20"/>
                <w:szCs w:val="20"/>
              </w:rPr>
              <w:t>211566</w:t>
            </w:r>
          </w:p>
        </w:tc>
      </w:tr>
    </w:tbl>
    <w:p w:rsidR="00511419" w:rsidRDefault="00511419" w:rsidP="00511419">
      <w:pPr>
        <w:widowControl w:val="0"/>
      </w:pP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Ls 32 292, nolietojumu Ls 2938, atlikušo vērtību Ls 29354 (nekustamā īpašuma kadastra numurs 8486 002 0460), kas atrodas „</w:t>
      </w:r>
      <w:proofErr w:type="spellStart"/>
      <w:r w:rsidRPr="00BB01B5">
        <w:rPr>
          <w:rFonts w:asciiTheme="minorHAnsi" w:hAnsiTheme="minorHAnsi"/>
        </w:rPr>
        <w:t>Tiruļi</w:t>
      </w:r>
      <w:proofErr w:type="spellEnd"/>
      <w:r w:rsidRPr="00BB01B5">
        <w:rPr>
          <w:rFonts w:asciiTheme="minorHAnsi" w:hAnsiTheme="minorHAnsi"/>
        </w:rPr>
        <w:t>”, Sadus pag., Saldus nov.:</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 xml:space="preserve">zemes vienību 24,05 ha, zemes vienības kadastra apzīmējums 8486 002 0460; </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zemes vienību 0,08 ha, zemes vienības kadastra apzīmējums 8486 002 0178;</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kantora ēku, būves kadastra apzīmējums 8486 002 0460 001;</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malkas šķūnītis, būves kadastra apzīmējums 8486 002 0460 002;</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piedarbu, būves kadastra apzīmējums 8486 002 0460 007.</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Funkciju izpildei nebija nepieciešams arī šāds kustamais īpašums (lauksaimniecības tehnika un inventārs), kurš tika nodots Latvijas Lauksaimniecības universitātei un Valsts Priekuļu laukaugu selekcijas institūtam ar sākotnējo vērtību Ls 45 690, nolietojumu Ls 44823, atlikušo vērtību Ls 867.</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 xml:space="preserve">Pārskata periodā </w:t>
      </w:r>
      <w:r w:rsidR="00DB586F">
        <w:rPr>
          <w:rFonts w:asciiTheme="minorHAnsi" w:hAnsiTheme="minorHAnsi"/>
        </w:rPr>
        <w:t>VAAD</w:t>
      </w:r>
      <w:r w:rsidRPr="00BB01B5">
        <w:rPr>
          <w:rFonts w:asciiTheme="minorHAnsi" w:hAnsiTheme="minorHAnsi"/>
        </w:rPr>
        <w:t xml:space="preserve"> veicis šādus kapitālos ieguldījumus Ls 211 566 apjomā. </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 xml:space="preserve">Saskaņā ar Nacionālās fitosanitārās laboratorijas, Nacionālās sēklu kontroles laboratorijas, Agroķīmijas laboratorijas uzturēšanu atbilstoši akreditācijas prasībām, pārskata periodā iegādātas laboratoriskās iekārtas par Ls 56 471. </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Pārskata periodā turpinās datortehnikas un biroja iekārtu iegāde atbilstoši datortehnikas atjaunošanas plānam. Datortehnika un biroja tehnika 2012.gadā iegādāta par Ls 30482.</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Pārskata periodā tika iegādāti transportlīdzekļi Ls 96513 apjomā, pārējie pamatlīdzekļi Ls 2198 apjomā. Kapitālais remonts veikts par Ls 25902 apjomā.</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Likumā "Par valsts budžetu 2013.gadam" 2013.gadam budžeta programmā. 27.00.00. „Augu veselība un augu aprites uzraudzība” VAAD piešķirti resursi Ls 2  501 507 apjomā un pieļauti izdevumi Ls 2  501 507 apjomā.</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Funkcijai „Augu veselība un augu aprites uzraudzība” kopējais valsts dotācijas samazinājums salīdzinot ar 2012.gada apstiprināto budžetu (uz 01.01.2011.) 2013.gadā ir Ls 30 783. Atlīdzībai paredzētais finansējums palielinājies par Ls 37 237. Ieņēmumi no maksas pakalpojumiem salīdzinot ar 2012.gada plānu ir palielināti par Ls 20 000, kas paredzēti atlīdzībai. Maksas pakalpojumu atlikumu Ls 16 920 uz 2013.gada 1.janvāri plānots novirzīt atlīdzībai.</w:t>
      </w:r>
    </w:p>
    <w:p w:rsidR="00BB01B5" w:rsidRPr="00BB01B5" w:rsidRDefault="00BB01B5" w:rsidP="00BB01B5">
      <w:pPr>
        <w:widowControl w:val="0"/>
        <w:spacing w:before="120"/>
        <w:jc w:val="both"/>
        <w:rPr>
          <w:rFonts w:asciiTheme="minorHAnsi" w:hAnsiTheme="minorHAnsi"/>
        </w:rPr>
      </w:pPr>
      <w:r w:rsidRPr="00BB01B5">
        <w:rPr>
          <w:rFonts w:asciiTheme="minorHAnsi" w:hAnsiTheme="minorHAnsi"/>
        </w:rPr>
        <w:t> </w:t>
      </w:r>
    </w:p>
    <w:p w:rsidR="00511419" w:rsidRPr="00BB01B5" w:rsidRDefault="00BB01B5" w:rsidP="00BB01B5">
      <w:pPr>
        <w:widowControl w:val="0"/>
        <w:shd w:val="clear" w:color="auto" w:fill="FDE9D9" w:themeFill="accent6" w:themeFillTint="33"/>
        <w:spacing w:before="120"/>
        <w:jc w:val="both"/>
        <w:rPr>
          <w:rFonts w:asciiTheme="minorHAnsi" w:hAnsiTheme="minorHAnsi"/>
          <w:b/>
          <w:sz w:val="28"/>
        </w:rPr>
      </w:pPr>
      <w:r w:rsidRPr="00BB01B5">
        <w:rPr>
          <w:rFonts w:asciiTheme="minorHAnsi" w:hAnsiTheme="minorHAnsi"/>
          <w:b/>
          <w:sz w:val="28"/>
        </w:rPr>
        <w:t>2013.gada budžeta prioritātes</w:t>
      </w:r>
    </w:p>
    <w:p w:rsidR="00BB01B5" w:rsidRPr="00BB01B5" w:rsidRDefault="00BB01B5" w:rsidP="00BB01B5">
      <w:pPr>
        <w:pStyle w:val="naisc"/>
        <w:widowControl w:val="0"/>
        <w:spacing w:before="120"/>
        <w:jc w:val="both"/>
        <w:rPr>
          <w:rFonts w:asciiTheme="minorHAnsi" w:hAnsiTheme="minorHAnsi"/>
          <w:bCs/>
        </w:rPr>
      </w:pPr>
      <w:r w:rsidRPr="00BB01B5">
        <w:rPr>
          <w:rFonts w:asciiTheme="minorHAnsi" w:hAnsiTheme="minorHAnsi"/>
          <w:bCs/>
        </w:rPr>
        <w:t>2013.gadam paredzēts finansējums arī no budžeta programmas 65.00.00. „Eiropas Lauksaimniecības fonda lauku attīstībai (ELFLA) projektu un pasākumu īstenošana” apakšprogrammas 65.05.00. „</w:t>
      </w:r>
      <w:r w:rsidRPr="00BB01B5">
        <w:rPr>
          <w:rFonts w:asciiTheme="minorHAnsi" w:hAnsiTheme="minorHAnsi"/>
          <w:b/>
          <w:bCs/>
        </w:rPr>
        <w:t>Tehniskā palīdzība Eiropas Lauksaimniecības fonda lauku attīstībai</w:t>
      </w:r>
      <w:r w:rsidRPr="00BB01B5">
        <w:rPr>
          <w:rFonts w:asciiTheme="minorHAnsi" w:hAnsiTheme="minorHAnsi"/>
          <w:bCs/>
        </w:rPr>
        <w:t>” (ELFLA) apgūšanai (2007-2013) Ls 107 000, tai skaitā šādiem pasākumiem:</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lastRenderedPageBreak/>
        <w:t>Ls 40 000 augšņu agroķīmiskai izpētei, lai iegūtu informāciju par reprezentatīvas lauku saimniecību izlases kopas 5 000 ha platībā neapstrādātās lauksaimniecībā izmantojamās zemes platībās;</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Ls 67 000 Nacionālās fitosanitārās laboratorijas siltumnīcas otrās kārtas renovācijai; (ir papildus pieprasīti 2012.gadā neizmantotie līdzekļi Ls 27 098).</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Plānots, ka 2013.gadā no šīs apakšprogrammas tiks pārdalīti līdzekļi Ls 198 489 arī šādiem pasākumiem:</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BB01B5">
        <w:rPr>
          <w:rFonts w:asciiTheme="minorHAnsi" w:hAnsiTheme="minorHAnsi"/>
        </w:rPr>
        <w:t>Savstarpējās atbilstības sistēmas ietvaros un integrētās augu audzēšanas sistēmas ietvaros veiktajām pārbaudēm Ls 158 397 apmērā, tai skaitā atlīdzībai Ls 109 231;</w:t>
      </w:r>
    </w:p>
    <w:p w:rsidR="00BB01B5" w:rsidRPr="00BB01B5" w:rsidRDefault="00BB01B5" w:rsidP="001234C1">
      <w:pPr>
        <w:pStyle w:val="ListParagraph"/>
        <w:widowControl w:val="0"/>
        <w:numPr>
          <w:ilvl w:val="1"/>
          <w:numId w:val="6"/>
        </w:numPr>
        <w:spacing w:before="120"/>
        <w:ind w:left="426"/>
        <w:jc w:val="both"/>
        <w:rPr>
          <w:rFonts w:asciiTheme="minorHAnsi" w:hAnsiTheme="minorHAnsi"/>
        </w:rPr>
      </w:pPr>
      <w:r w:rsidRPr="0095132F">
        <w:rPr>
          <w:rFonts w:asciiTheme="minorHAnsi" w:hAnsiTheme="minorHAnsi"/>
        </w:rPr>
        <w:t xml:space="preserve">Ls 40 </w:t>
      </w:r>
      <w:r w:rsidRPr="00BB01B5">
        <w:rPr>
          <w:rFonts w:asciiTheme="minorHAnsi" w:hAnsiTheme="minorHAnsi"/>
        </w:rPr>
        <w:t>092</w:t>
      </w:r>
      <w:r w:rsidRPr="0095132F">
        <w:rPr>
          <w:rFonts w:asciiTheme="minorHAnsi" w:hAnsiTheme="minorHAnsi"/>
        </w:rPr>
        <w:t>  lai turpinātu ieviest izmaiņas Kultūraugu uzraudzības valsts informācijas sistēmā</w:t>
      </w:r>
      <w:r w:rsidRPr="00BB01B5">
        <w:rPr>
          <w:rFonts w:asciiTheme="minorHAnsi" w:hAnsiTheme="minorHAnsi"/>
          <w:bCs/>
        </w:rPr>
        <w:t xml:space="preserve"> (KUVIS) sadarbspēju nodrošināšanai </w:t>
      </w:r>
      <w:r w:rsidRPr="00BB01B5">
        <w:rPr>
          <w:rFonts w:asciiTheme="minorHAnsi" w:hAnsiTheme="minorHAnsi"/>
        </w:rPr>
        <w:t>starp zemkopības nozarē paredzētajiem koplietošanas risinājumiem un nodrošinātu savstarpēju datu apmaiņu.</w:t>
      </w:r>
    </w:p>
    <w:p w:rsidR="00BB01B5" w:rsidRPr="00BB01B5" w:rsidRDefault="00BB01B5" w:rsidP="0095132F">
      <w:pPr>
        <w:pStyle w:val="naisc"/>
        <w:widowControl w:val="0"/>
        <w:spacing w:before="120"/>
        <w:jc w:val="both"/>
        <w:rPr>
          <w:rFonts w:asciiTheme="minorHAnsi" w:hAnsiTheme="minorHAnsi"/>
          <w:bCs/>
        </w:rPr>
      </w:pPr>
      <w:r w:rsidRPr="00BB01B5">
        <w:rPr>
          <w:rFonts w:asciiTheme="minorHAnsi" w:hAnsiTheme="minorHAnsi"/>
          <w:bCs/>
        </w:rPr>
        <w:t>2013.</w:t>
      </w:r>
      <w:r w:rsidRPr="0095132F">
        <w:rPr>
          <w:rFonts w:asciiTheme="minorHAnsi" w:hAnsiTheme="minorHAnsi"/>
        </w:rPr>
        <w:t>gadam</w:t>
      </w:r>
      <w:r w:rsidRPr="00BB01B5">
        <w:rPr>
          <w:rFonts w:asciiTheme="minorHAnsi" w:hAnsiTheme="minorHAnsi"/>
          <w:bCs/>
        </w:rPr>
        <w:t>, saskaņā ar MK 2012.gada 14.februāra noteikumiem Nr.112 „Noteikumi par valsts atbalstu lauksaimniecībai un tā piešķiršanas kārtību”, paredzēti līdzekļi budžeta apakšprogrammā 21.01.00. „</w:t>
      </w:r>
      <w:r w:rsidRPr="00BB01B5">
        <w:rPr>
          <w:rFonts w:asciiTheme="minorHAnsi" w:hAnsiTheme="minorHAnsi"/>
          <w:b/>
          <w:bCs/>
        </w:rPr>
        <w:t>Valsts atbalsts lauksaimniecības un lauku attīstībai</w:t>
      </w:r>
      <w:r w:rsidRPr="00BB01B5">
        <w:rPr>
          <w:rFonts w:asciiTheme="minorHAnsi" w:hAnsiTheme="minorHAnsi"/>
          <w:bCs/>
        </w:rPr>
        <w:t>” Ls 112 861 apmērā augsnes minerālā slāpekļa monitoringa īstenošanai un atbalstam kvalitatīvas sēklas sagatavošanai un izmantošanai.</w:t>
      </w:r>
    </w:p>
    <w:p w:rsidR="00BB01B5" w:rsidRPr="00BB01B5" w:rsidRDefault="00BB01B5" w:rsidP="0095132F">
      <w:pPr>
        <w:pStyle w:val="naisc"/>
        <w:widowControl w:val="0"/>
        <w:spacing w:before="120"/>
        <w:jc w:val="both"/>
        <w:rPr>
          <w:rFonts w:asciiTheme="minorHAnsi" w:hAnsiTheme="minorHAnsi"/>
          <w:bCs/>
        </w:rPr>
      </w:pPr>
      <w:r w:rsidRPr="00BB01B5">
        <w:rPr>
          <w:rFonts w:asciiTheme="minorHAnsi" w:hAnsiTheme="minorHAnsi"/>
          <w:bCs/>
        </w:rPr>
        <w:t>2013.</w:t>
      </w:r>
      <w:r w:rsidRPr="0095132F">
        <w:rPr>
          <w:rFonts w:asciiTheme="minorHAnsi" w:hAnsiTheme="minorHAnsi"/>
        </w:rPr>
        <w:t>gadā</w:t>
      </w:r>
      <w:r w:rsidRPr="00BB01B5">
        <w:rPr>
          <w:rFonts w:asciiTheme="minorHAnsi" w:hAnsiTheme="minorHAnsi"/>
          <w:bCs/>
        </w:rPr>
        <w:t xml:space="preserve"> turpināsies </w:t>
      </w:r>
      <w:proofErr w:type="spellStart"/>
      <w:r w:rsidRPr="00BB01B5">
        <w:rPr>
          <w:rFonts w:asciiTheme="minorHAnsi" w:hAnsiTheme="minorHAnsi"/>
          <w:bCs/>
        </w:rPr>
        <w:t>Twinning</w:t>
      </w:r>
      <w:proofErr w:type="spellEnd"/>
      <w:r w:rsidRPr="00BB01B5">
        <w:rPr>
          <w:rFonts w:asciiTheme="minorHAnsi" w:hAnsiTheme="minorHAnsi"/>
          <w:bCs/>
        </w:rPr>
        <w:t xml:space="preserve"> projekta „</w:t>
      </w:r>
      <w:r w:rsidRPr="00BB01B5">
        <w:rPr>
          <w:rFonts w:asciiTheme="minorHAnsi" w:hAnsiTheme="minorHAnsi"/>
          <w:b/>
          <w:bCs/>
        </w:rPr>
        <w:t>Ukrainas atbalsts pietuvinot tās fitosanitāro jomu regulējošo likumdošanu un pārvaldi Eiropas standartiem</w:t>
      </w:r>
      <w:r w:rsidRPr="00BB01B5">
        <w:rPr>
          <w:rFonts w:asciiTheme="minorHAnsi" w:hAnsiTheme="minorHAnsi"/>
          <w:bCs/>
        </w:rPr>
        <w:t xml:space="preserve">” realizācija 70.06.00. apakšprogrammā „Izdevumi citu Eiropas Savienības politikas instrumentu projektu un pasākumu īstenošanai Ls 46 795 apmērā. </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bCs/>
        </w:rPr>
        <w:t>Saskaņā ar „</w:t>
      </w:r>
      <w:r w:rsidRPr="00BB01B5">
        <w:rPr>
          <w:rFonts w:asciiTheme="minorHAnsi" w:hAnsiTheme="minorHAnsi"/>
          <w:b/>
          <w:bCs/>
        </w:rPr>
        <w:t>Integrētās augu aizsardzības politikas attīstības pamatnostādnes 2009. – 2015.gadam</w:t>
      </w:r>
      <w:r w:rsidRPr="00BB01B5">
        <w:rPr>
          <w:rFonts w:asciiTheme="minorHAnsi" w:hAnsiTheme="minorHAnsi"/>
        </w:rPr>
        <w:t xml:space="preserve">” minētiem pasākumiem atbilstoši piešķirtajam finansējumam VAAD 2013.gadā nodrošinās pētījumu turpināšanu par kultūraugu kaitīgo organismu kritiskajiem sliekšņiem, par minimālās augsnes apstrādes ietekmi uz augsnes auglības saglābšanu, kaitīgo organismu attīstību un izturību, ražu un tās kvalitāti </w:t>
      </w:r>
      <w:proofErr w:type="spellStart"/>
      <w:r w:rsidRPr="00BB01B5">
        <w:rPr>
          <w:rFonts w:asciiTheme="minorHAnsi" w:hAnsiTheme="minorHAnsi"/>
        </w:rPr>
        <w:t>bezmaiņas</w:t>
      </w:r>
      <w:proofErr w:type="spellEnd"/>
      <w:r w:rsidRPr="00BB01B5">
        <w:rPr>
          <w:rFonts w:asciiTheme="minorHAnsi" w:hAnsiTheme="minorHAnsi"/>
        </w:rPr>
        <w:t xml:space="preserve"> sējumos, nodrošinās pētījumu par kultūraugu šķirņu izturību pret kaitēkļiem un slimībām Latvijas </w:t>
      </w:r>
      <w:proofErr w:type="spellStart"/>
      <w:r w:rsidRPr="00BB01B5">
        <w:rPr>
          <w:rFonts w:asciiTheme="minorHAnsi" w:hAnsiTheme="minorHAnsi"/>
        </w:rPr>
        <w:t>agroklimatiskajos</w:t>
      </w:r>
      <w:proofErr w:type="spellEnd"/>
      <w:r w:rsidRPr="00BB01B5">
        <w:rPr>
          <w:rFonts w:asciiTheme="minorHAnsi" w:hAnsiTheme="minorHAnsi"/>
        </w:rPr>
        <w:t xml:space="preserve"> apstākļos. </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 xml:space="preserve">Lai ieviestu direktīvu par AAL ilgtspējīgu lietošanu 2013.gadā VAAD turpinās pilnveidot kultūraugiem kaitīgo organismu novērošanas sistēmu, </w:t>
      </w:r>
      <w:r w:rsidRPr="00BB01B5">
        <w:rPr>
          <w:rFonts w:asciiTheme="minorHAnsi" w:hAnsiTheme="minorHAnsi"/>
          <w:b/>
          <w:bCs/>
        </w:rPr>
        <w:t>izstrādās profesionālo AAL lietotāju, konsultantu un izplatītāju apmācību sistēmas shēmu</w:t>
      </w:r>
      <w:r w:rsidRPr="00BB01B5">
        <w:rPr>
          <w:rFonts w:asciiTheme="minorHAnsi" w:hAnsiTheme="minorHAnsi"/>
        </w:rPr>
        <w:t xml:space="preserve">; turpinās </w:t>
      </w:r>
      <w:r w:rsidRPr="00BB01B5">
        <w:rPr>
          <w:rFonts w:asciiTheme="minorHAnsi" w:hAnsiTheme="minorHAnsi"/>
          <w:b/>
          <w:bCs/>
        </w:rPr>
        <w:t>smidzinātāju uzraudzības sistēmas izveidi</w:t>
      </w:r>
      <w:r w:rsidRPr="00BB01B5">
        <w:rPr>
          <w:rFonts w:asciiTheme="minorHAnsi" w:hAnsiTheme="minorHAnsi"/>
        </w:rPr>
        <w:t xml:space="preserve">. </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 xml:space="preserve">Tiks izstrādāts Latvijas </w:t>
      </w:r>
      <w:r w:rsidRPr="00BB01B5">
        <w:rPr>
          <w:rFonts w:asciiTheme="minorHAnsi" w:hAnsiTheme="minorHAnsi"/>
          <w:b/>
          <w:bCs/>
        </w:rPr>
        <w:t>rīcības plāns AAL ilgtspējīgai izmantošanai 2013.–2017.gadam</w:t>
      </w:r>
      <w:r w:rsidRPr="00BB01B5">
        <w:rPr>
          <w:rFonts w:asciiTheme="minorHAnsi" w:hAnsiTheme="minorHAnsi"/>
          <w:bCs/>
        </w:rPr>
        <w:t>,</w:t>
      </w:r>
      <w:r w:rsidRPr="00BB01B5">
        <w:rPr>
          <w:rFonts w:asciiTheme="minorHAnsi" w:hAnsiTheme="minorHAnsi"/>
          <w:b/>
          <w:bCs/>
        </w:rPr>
        <w:t xml:space="preserve"> </w:t>
      </w:r>
      <w:r w:rsidRPr="00BB01B5">
        <w:rPr>
          <w:rFonts w:asciiTheme="minorHAnsi" w:hAnsiTheme="minorHAnsi"/>
        </w:rPr>
        <w:t xml:space="preserve">ar mērķi mazināt pesticīdu radīto risku un ietekmi uz cilvēku veselību un vidi, kā arī lai sekmētu integrētās augu aizsardzības un alternatīvu pieeju vai metodiku izstrādi un ieviešanu. </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 xml:space="preserve">VAAD 2013.gadā turpinās pārstāvēs Latviju Eiropas Kopienas vienotajā darbīgo vielu novērtēšanas procedūrā, kā līdzziņotājai dalībvalstij turpinot uzsākto divu </w:t>
      </w:r>
      <w:r w:rsidRPr="00BB01B5">
        <w:rPr>
          <w:rFonts w:asciiTheme="minorHAnsi" w:hAnsiTheme="minorHAnsi"/>
          <w:b/>
          <w:bCs/>
        </w:rPr>
        <w:t xml:space="preserve">darbīgo vielu - </w:t>
      </w:r>
      <w:proofErr w:type="spellStart"/>
      <w:r w:rsidRPr="00BB01B5">
        <w:rPr>
          <w:rFonts w:asciiTheme="minorHAnsi" w:hAnsiTheme="minorHAnsi"/>
          <w:b/>
          <w:bCs/>
        </w:rPr>
        <w:t>piridāta</w:t>
      </w:r>
      <w:proofErr w:type="spellEnd"/>
      <w:r w:rsidRPr="00BB01B5">
        <w:rPr>
          <w:rFonts w:asciiTheme="minorHAnsi" w:hAnsiTheme="minorHAnsi"/>
          <w:b/>
          <w:bCs/>
        </w:rPr>
        <w:t xml:space="preserve"> un </w:t>
      </w:r>
      <w:proofErr w:type="spellStart"/>
      <w:r w:rsidRPr="00BB01B5">
        <w:rPr>
          <w:rFonts w:asciiTheme="minorHAnsi" w:hAnsiTheme="minorHAnsi"/>
          <w:b/>
          <w:bCs/>
        </w:rPr>
        <w:t>pikolinofēna</w:t>
      </w:r>
      <w:proofErr w:type="spellEnd"/>
      <w:r w:rsidRPr="00BB01B5">
        <w:rPr>
          <w:rFonts w:asciiTheme="minorHAnsi" w:hAnsiTheme="minorHAnsi"/>
          <w:b/>
          <w:bCs/>
        </w:rPr>
        <w:t xml:space="preserve"> novērtēšanu</w:t>
      </w:r>
      <w:r w:rsidRPr="00BB01B5">
        <w:rPr>
          <w:rFonts w:asciiTheme="minorHAnsi" w:hAnsiTheme="minorHAnsi"/>
        </w:rPr>
        <w:t xml:space="preserve"> atkārtotai iekļaušanai Eiropā reģistrēto darbīgo vielu sarakstā.</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 xml:space="preserve">2013.gadā Latvija, kā vadošā valsts zonas ietvaros, </w:t>
      </w:r>
      <w:r w:rsidRPr="00BB01B5">
        <w:rPr>
          <w:rFonts w:asciiTheme="minorHAnsi" w:hAnsiTheme="minorHAnsi"/>
          <w:b/>
          <w:bCs/>
        </w:rPr>
        <w:t>koordinēs AAL novērtēšanas un pārvērtēšanas procesus starp zonas dalībvalstīm</w:t>
      </w:r>
      <w:r w:rsidRPr="00BB01B5">
        <w:rPr>
          <w:rFonts w:asciiTheme="minorHAnsi" w:hAnsiTheme="minorHAnsi"/>
        </w:rPr>
        <w:t>, pārstāvēs Ziemeļu zonu visu trīs zonu kopējās sanāksmēs (</w:t>
      </w:r>
      <w:proofErr w:type="spellStart"/>
      <w:r w:rsidRPr="00BB01B5">
        <w:rPr>
          <w:rFonts w:asciiTheme="minorHAnsi" w:hAnsiTheme="minorHAnsi"/>
        </w:rPr>
        <w:t>interzonālās</w:t>
      </w:r>
      <w:proofErr w:type="spellEnd"/>
      <w:r w:rsidRPr="00BB01B5">
        <w:rPr>
          <w:rFonts w:asciiTheme="minorHAnsi" w:hAnsiTheme="minorHAnsi"/>
        </w:rPr>
        <w:t xml:space="preserve"> sanāksmēs), nepieciešamības gadījumā sanāksmēs paužot Ziemeļu zonas viedokli. Vadošās valsts pienākumos ietilpst arī darbs, kas saistīts ar labojumu un papildinājumu veikšanu vadlīniju dokumentā, kas nosaka darbu sadali Ziemeļu zonā attiecībā uz AAL reģistrāciju. Vadošā valsts zonā koordinē arī valstī, zonā un Eiropā aktuālu jautājumu risināšanu, viedokļu un pieredzes apmaiņu AAL novērtēšanas un reģistrācijas jomā. </w:t>
      </w:r>
      <w:r w:rsidRPr="00BB01B5">
        <w:rPr>
          <w:rFonts w:asciiTheme="minorHAnsi" w:hAnsiTheme="minorHAnsi"/>
        </w:rPr>
        <w:lastRenderedPageBreak/>
        <w:t xml:space="preserve">Tas nozīmē, ka VAAD speciālisti reizi divos mēnešos organizēs un vadīs </w:t>
      </w:r>
      <w:proofErr w:type="spellStart"/>
      <w:r w:rsidRPr="00BB01B5">
        <w:rPr>
          <w:rFonts w:asciiTheme="minorHAnsi" w:hAnsiTheme="minorHAnsi"/>
        </w:rPr>
        <w:t>telefonkonferences</w:t>
      </w:r>
      <w:proofErr w:type="spellEnd"/>
      <w:r w:rsidRPr="00BB01B5">
        <w:rPr>
          <w:rFonts w:asciiTheme="minorHAnsi" w:hAnsiTheme="minorHAnsi"/>
        </w:rPr>
        <w:t xml:space="preserve"> ar Ziemeļu zonas valstu ekspertiem, realizēs saraksti un elektronisku informācijas apmaiņu starp zonas dalībvalstīm, kā arī vismaz piecas reizes gadā pārstāvēs Ziemeļu zonu </w:t>
      </w:r>
      <w:proofErr w:type="spellStart"/>
      <w:r w:rsidRPr="00BB01B5">
        <w:rPr>
          <w:rFonts w:asciiTheme="minorHAnsi" w:hAnsiTheme="minorHAnsi"/>
        </w:rPr>
        <w:t>Interzonālajās</w:t>
      </w:r>
      <w:proofErr w:type="spellEnd"/>
      <w:r w:rsidRPr="00BB01B5">
        <w:rPr>
          <w:rFonts w:asciiTheme="minorHAnsi" w:hAnsiTheme="minorHAnsi"/>
        </w:rPr>
        <w:t xml:space="preserve"> sanāksmēs.</w:t>
      </w:r>
    </w:p>
    <w:p w:rsidR="00BB01B5" w:rsidRPr="00BB01B5" w:rsidRDefault="00BB01B5" w:rsidP="00BB01B5">
      <w:pPr>
        <w:pStyle w:val="naisc"/>
        <w:widowControl w:val="0"/>
        <w:spacing w:before="120"/>
        <w:jc w:val="both"/>
        <w:rPr>
          <w:rFonts w:asciiTheme="minorHAnsi" w:hAnsiTheme="minorHAnsi"/>
        </w:rPr>
      </w:pPr>
      <w:r w:rsidRPr="00BB01B5">
        <w:rPr>
          <w:rFonts w:asciiTheme="minorHAnsi" w:hAnsiTheme="minorHAnsi"/>
        </w:rPr>
        <w:t xml:space="preserve">2013.gadā turpināsies kontroles savstarpējās atbilstības prasību izpildei vides jomā </w:t>
      </w:r>
      <w:r w:rsidRPr="00BB01B5">
        <w:rPr>
          <w:rFonts w:asciiTheme="minorHAnsi" w:hAnsiTheme="minorHAnsi"/>
          <w:b/>
          <w:bCs/>
        </w:rPr>
        <w:t xml:space="preserve">uzraudzībai mēslošanas plāniem </w:t>
      </w:r>
      <w:r w:rsidRPr="00BB01B5">
        <w:rPr>
          <w:rFonts w:asciiTheme="minorHAnsi" w:hAnsiTheme="minorHAnsi"/>
        </w:rPr>
        <w:t xml:space="preserve">un to dokumentācijai īpaši jutīgajās teritorijās, kā arī </w:t>
      </w:r>
      <w:r w:rsidRPr="00BB01B5">
        <w:rPr>
          <w:rFonts w:asciiTheme="minorHAnsi" w:hAnsiTheme="minorHAnsi"/>
          <w:b/>
          <w:bCs/>
        </w:rPr>
        <w:t>AAL lietošanas uzraudzībā</w:t>
      </w:r>
      <w:r w:rsidRPr="00BB01B5">
        <w:rPr>
          <w:rFonts w:asciiTheme="minorHAnsi" w:hAnsiTheme="minorHAnsi"/>
        </w:rPr>
        <w:t>.</w:t>
      </w:r>
    </w:p>
    <w:p w:rsidR="00BB01B5" w:rsidRPr="00BB01B5" w:rsidRDefault="00BB01B5" w:rsidP="00BB01B5">
      <w:pPr>
        <w:pStyle w:val="naisc"/>
        <w:widowControl w:val="0"/>
        <w:tabs>
          <w:tab w:val="left" w:pos="-31680"/>
        </w:tabs>
        <w:spacing w:before="120"/>
        <w:jc w:val="both"/>
        <w:rPr>
          <w:rFonts w:asciiTheme="minorHAnsi" w:hAnsiTheme="minorHAnsi"/>
        </w:rPr>
      </w:pPr>
      <w:r w:rsidRPr="00BB01B5">
        <w:rPr>
          <w:rFonts w:asciiTheme="minorHAnsi" w:hAnsiTheme="minorHAnsi"/>
        </w:rPr>
        <w:t xml:space="preserve">VAAD turpinās </w:t>
      </w:r>
      <w:r w:rsidRPr="00BB01B5">
        <w:rPr>
          <w:rFonts w:asciiTheme="minorHAnsi" w:hAnsiTheme="minorHAnsi"/>
          <w:b/>
          <w:bCs/>
        </w:rPr>
        <w:t>uzraudzību un kontroli augu karantīnas jomā</w:t>
      </w:r>
      <w:r w:rsidRPr="00BB01B5">
        <w:rPr>
          <w:rFonts w:asciiTheme="minorHAnsi" w:hAnsiTheme="minorHAnsi"/>
        </w:rPr>
        <w:t>, lai nodrošinātu Latvijas produkcijas eksportu, reeksportu un tranzītu gan uz trešajām, gan Eiropas Savienības valstīm. Ņemot vērā, ka palielinās tirdzniecība, ar augiem un augu produktiem starp Eiropas Savienības dalībvalstīm, kā arī starp pasaules valstīm, nenodrošinot augu karantīnas organismu uzraudzību pienācīgā līmenī, var tikt apdraudēts Latvijas fitosanitārais stāvoklis, kas ilgtermiņā ietekmēs lauksaimniecības un mežsaimniecības ražošanu un konkurētspēju.</w:t>
      </w:r>
    </w:p>
    <w:p w:rsidR="00BB01B5" w:rsidRPr="00BB01B5" w:rsidRDefault="00BB01B5" w:rsidP="00BB01B5">
      <w:pPr>
        <w:pStyle w:val="naisc"/>
        <w:widowControl w:val="0"/>
        <w:tabs>
          <w:tab w:val="left" w:pos="-31680"/>
        </w:tabs>
        <w:spacing w:before="120"/>
        <w:jc w:val="both"/>
        <w:rPr>
          <w:rFonts w:asciiTheme="minorHAnsi" w:hAnsiTheme="minorHAnsi"/>
        </w:rPr>
      </w:pPr>
      <w:r w:rsidRPr="00BB01B5">
        <w:rPr>
          <w:rFonts w:asciiTheme="minorHAnsi" w:hAnsiTheme="minorHAnsi"/>
        </w:rPr>
        <w:t xml:space="preserve">2013.gadā VAAD Latvijā organizēs FAO sadarbībā ar </w:t>
      </w:r>
      <w:r w:rsidRPr="00BB01B5">
        <w:rPr>
          <w:rFonts w:asciiTheme="minorHAnsi" w:hAnsiTheme="minorHAnsi"/>
          <w:color w:val="333333"/>
        </w:rPr>
        <w:t>Eiropas un Vidusjūras Augu Aizsardzības Organizācijas</w:t>
      </w:r>
      <w:r w:rsidRPr="00BB01B5">
        <w:rPr>
          <w:rFonts w:asciiTheme="minorHAnsi" w:hAnsiTheme="minorHAnsi"/>
        </w:rPr>
        <w:t xml:space="preserve"> (EPPO) </w:t>
      </w:r>
      <w:r w:rsidRPr="00BB01B5">
        <w:rPr>
          <w:rFonts w:asciiTheme="minorHAnsi" w:hAnsiTheme="minorHAnsi"/>
          <w:b/>
          <w:bCs/>
        </w:rPr>
        <w:t>semināru par ziņošana sistēmu par kaitīgo organismu atklāšanas gadījumiem</w:t>
      </w:r>
      <w:r w:rsidRPr="00BB01B5">
        <w:rPr>
          <w:rFonts w:asciiTheme="minorHAnsi" w:hAnsiTheme="minorHAnsi"/>
        </w:rPr>
        <w:t xml:space="preserve">, kā arī Baltijas un Ziemeļvalstu augu aizsardzības organizāciju ikgadējo sanāksmi. </w:t>
      </w:r>
    </w:p>
    <w:p w:rsidR="00BB01B5" w:rsidRPr="00BB01B5" w:rsidRDefault="00BB01B5" w:rsidP="00BB01B5">
      <w:pPr>
        <w:pStyle w:val="naisc"/>
        <w:widowControl w:val="0"/>
        <w:tabs>
          <w:tab w:val="left" w:pos="-31680"/>
        </w:tabs>
        <w:spacing w:before="120"/>
        <w:jc w:val="both"/>
        <w:rPr>
          <w:rFonts w:asciiTheme="minorHAnsi" w:hAnsiTheme="minorHAnsi"/>
        </w:rPr>
      </w:pPr>
      <w:r w:rsidRPr="00BB01B5">
        <w:rPr>
          <w:rFonts w:asciiTheme="minorHAnsi" w:hAnsiTheme="minorHAnsi"/>
        </w:rPr>
        <w:t xml:space="preserve">2013.gadā VAAD jāturpina </w:t>
      </w:r>
      <w:r w:rsidRPr="00BB01B5">
        <w:rPr>
          <w:rFonts w:asciiTheme="minorHAnsi" w:hAnsiTheme="minorHAnsi"/>
          <w:b/>
          <w:bCs/>
        </w:rPr>
        <w:t>sistēmas izstrāde</w:t>
      </w:r>
      <w:r w:rsidRPr="00BB01B5">
        <w:rPr>
          <w:rFonts w:asciiTheme="minorHAnsi" w:hAnsiTheme="minorHAnsi"/>
        </w:rPr>
        <w:t>, lai Latvijā neieviestos jauni karantīnas organismi, rīcības plāna izstrāde, lai novērstu priežu koksnes nematodes ieviešanos Latvijā.</w:t>
      </w:r>
    </w:p>
    <w:p w:rsidR="00BB01B5" w:rsidRDefault="00BB01B5" w:rsidP="00BB01B5">
      <w:pPr>
        <w:pStyle w:val="naisc"/>
        <w:widowControl w:val="0"/>
        <w:tabs>
          <w:tab w:val="left" w:pos="-31680"/>
        </w:tabs>
        <w:spacing w:before="120"/>
        <w:jc w:val="both"/>
        <w:rPr>
          <w:rFonts w:asciiTheme="minorHAnsi" w:hAnsiTheme="minorHAnsi"/>
        </w:rPr>
      </w:pPr>
      <w:r w:rsidRPr="00BB01B5">
        <w:rPr>
          <w:rFonts w:asciiTheme="minorHAnsi" w:hAnsiTheme="minorHAnsi"/>
        </w:rPr>
        <w:t xml:space="preserve">VAAD 2013.gadā turpinās līdzdalību jaunas augu veselības politikas izstrādē Eiropas Savienībā, </w:t>
      </w:r>
      <w:r w:rsidRPr="0095132F">
        <w:rPr>
          <w:rFonts w:asciiTheme="minorHAnsi" w:hAnsiTheme="minorHAnsi"/>
        </w:rPr>
        <w:t>piedaloties darba grupās par importu un uzraudzību, par augu pasēm un aizsargājamām zonām</w:t>
      </w:r>
      <w:r w:rsidRPr="00BB01B5">
        <w:rPr>
          <w:rFonts w:asciiTheme="minorHAnsi" w:hAnsiTheme="minorHAnsi"/>
        </w:rPr>
        <w:t>.</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Lai uzturētu atbilstošu kvalitātes vadības sistēmu, Nacionālā fitosanitārā laboratorija turpinās veikt akreditēto metožu </w:t>
      </w:r>
      <w:proofErr w:type="spellStart"/>
      <w:r w:rsidRPr="0095132F">
        <w:rPr>
          <w:rFonts w:asciiTheme="minorHAnsi" w:hAnsiTheme="minorHAnsi"/>
        </w:rPr>
        <w:t>Clavibacter</w:t>
      </w:r>
      <w:proofErr w:type="spellEnd"/>
      <w:r w:rsidRPr="0095132F">
        <w:rPr>
          <w:rFonts w:asciiTheme="minorHAnsi" w:hAnsiTheme="minorHAnsi"/>
        </w:rPr>
        <w:t xml:space="preserve"> </w:t>
      </w:r>
      <w:proofErr w:type="spellStart"/>
      <w:r w:rsidRPr="0095132F">
        <w:rPr>
          <w:rFonts w:asciiTheme="minorHAnsi" w:hAnsiTheme="minorHAnsi"/>
        </w:rPr>
        <w:t>michiganensis</w:t>
      </w:r>
      <w:proofErr w:type="spellEnd"/>
      <w:r w:rsidRPr="0095132F">
        <w:rPr>
          <w:rFonts w:asciiTheme="minorHAnsi" w:hAnsiTheme="minorHAnsi"/>
        </w:rPr>
        <w:t xml:space="preserve"> </w:t>
      </w:r>
      <w:proofErr w:type="spellStart"/>
      <w:r w:rsidRPr="0095132F">
        <w:rPr>
          <w:rFonts w:asciiTheme="minorHAnsi" w:hAnsiTheme="minorHAnsi"/>
        </w:rPr>
        <w:t>subsp</w:t>
      </w:r>
      <w:proofErr w:type="spellEnd"/>
      <w:r w:rsidRPr="0095132F">
        <w:rPr>
          <w:rFonts w:asciiTheme="minorHAnsi" w:hAnsiTheme="minorHAnsi"/>
        </w:rPr>
        <w:t xml:space="preserve">. </w:t>
      </w:r>
      <w:proofErr w:type="spellStart"/>
      <w:r w:rsidRPr="0095132F">
        <w:rPr>
          <w:rFonts w:asciiTheme="minorHAnsi" w:hAnsiTheme="minorHAnsi"/>
        </w:rPr>
        <w:t>Sepedonicus</w:t>
      </w:r>
      <w:proofErr w:type="spellEnd"/>
      <w:r w:rsidRPr="0095132F">
        <w:rPr>
          <w:rFonts w:asciiTheme="minorHAnsi" w:hAnsiTheme="minorHAnsi"/>
        </w:rPr>
        <w:t xml:space="preserve"> un </w:t>
      </w:r>
      <w:proofErr w:type="spellStart"/>
      <w:r w:rsidRPr="0095132F">
        <w:rPr>
          <w:rFonts w:asciiTheme="minorHAnsi" w:hAnsiTheme="minorHAnsi"/>
        </w:rPr>
        <w:t>Ralstonia</w:t>
      </w:r>
      <w:proofErr w:type="spellEnd"/>
      <w:r w:rsidRPr="0095132F">
        <w:rPr>
          <w:rFonts w:asciiTheme="minorHAnsi" w:hAnsiTheme="minorHAnsi"/>
        </w:rPr>
        <w:t xml:space="preserve"> </w:t>
      </w:r>
      <w:proofErr w:type="spellStart"/>
      <w:r w:rsidRPr="0095132F">
        <w:rPr>
          <w:rFonts w:asciiTheme="minorHAnsi" w:hAnsiTheme="minorHAnsi"/>
        </w:rPr>
        <w:t>solanacearum</w:t>
      </w:r>
      <w:proofErr w:type="spellEnd"/>
      <w:r w:rsidRPr="0095132F">
        <w:rPr>
          <w:rFonts w:asciiTheme="minorHAnsi" w:hAnsiTheme="minorHAnsi"/>
        </w:rPr>
        <w:t xml:space="preserve"> noteikšanai </w:t>
      </w:r>
      <w:proofErr w:type="spellStart"/>
      <w:r w:rsidRPr="0095132F">
        <w:rPr>
          <w:rFonts w:asciiTheme="minorHAnsi" w:hAnsiTheme="minorHAnsi"/>
        </w:rPr>
        <w:t>revalidāciju</w:t>
      </w:r>
      <w:proofErr w:type="spellEnd"/>
      <w:r w:rsidRPr="0095132F">
        <w:rPr>
          <w:rFonts w:asciiTheme="minorHAnsi" w:hAnsiTheme="minorHAnsi"/>
        </w:rPr>
        <w:t>.</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VAAD 2013.gadā aktīvi turpinās piedalīties ES Padomes </w:t>
      </w:r>
      <w:proofErr w:type="spellStart"/>
      <w:r w:rsidRPr="0095132F">
        <w:rPr>
          <w:rFonts w:asciiTheme="minorHAnsi" w:hAnsiTheme="minorHAnsi"/>
        </w:rPr>
        <w:t>Roosendaal</w:t>
      </w:r>
      <w:proofErr w:type="spellEnd"/>
      <w:r w:rsidRPr="0095132F">
        <w:rPr>
          <w:rFonts w:asciiTheme="minorHAnsi" w:hAnsiTheme="minorHAnsi"/>
        </w:rPr>
        <w:t xml:space="preserve"> darba grupas sanāksmēs, organizēs dažādu pārstāvju tikšanās, lai nodrošinātu veiksmīgu augu un augu produktu eksportu uz Krievijas Federāciju.</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2013.gadā netiks veikta ar latvāņiem aizņemto platību uzmērīšana, tādējādi nebūs iespējams konstatēt ar latvāņiem aizņemto platību izplatības attīstību. Uzraudzība par latvāņu ierobežošanas pasākumu veikšanu tiks veikta</w:t>
      </w:r>
      <w:proofErr w:type="gramStart"/>
      <w:r w:rsidRPr="0095132F">
        <w:rPr>
          <w:rFonts w:asciiTheme="minorHAnsi" w:hAnsiTheme="minorHAnsi"/>
        </w:rPr>
        <w:t xml:space="preserve"> tikai izskatot iesniegtās sūdzības</w:t>
      </w:r>
      <w:proofErr w:type="gramEnd"/>
      <w:r w:rsidRPr="0095132F">
        <w:rPr>
          <w:rFonts w:asciiTheme="minorHAnsi" w:hAnsiTheme="minorHAnsi"/>
        </w:rPr>
        <w:t>.</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Izvērtējot iespējamo risku, 2013.gadā, lai pierādītu neatbilstošu AAL lietošanu, tiks palielināts ņemto kontroles paraugu skaits AAL kvalitātes noteikšanai. </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VAAD neveiks sēklu tirdzniecības vietu kontroli, bet reaģēs uz iesniegtajām sūdzībām.</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Netiks uzsākta ģenētiski modificēto organismu uzraudzība VAAD noteiktajā kompetences sfērā.</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Izdevumi par pakalpojumiem un precēm optimizēti līdz minimumam, lai varētu nodrošināt funkciju izpildi. </w:t>
      </w:r>
    </w:p>
    <w:p w:rsidR="0095132F" w:rsidRPr="0095132F" w:rsidRDefault="0095132F" w:rsidP="0095132F">
      <w:pPr>
        <w:pStyle w:val="naisc"/>
        <w:widowControl w:val="0"/>
        <w:tabs>
          <w:tab w:val="left" w:pos="-31680"/>
        </w:tabs>
        <w:spacing w:before="120"/>
        <w:jc w:val="both"/>
        <w:rPr>
          <w:rFonts w:asciiTheme="minorHAnsi" w:hAnsiTheme="minorHAnsi"/>
        </w:rPr>
      </w:pPr>
      <w:proofErr w:type="gramStart"/>
      <w:r w:rsidRPr="0095132F">
        <w:rPr>
          <w:rFonts w:asciiTheme="minorHAnsi" w:hAnsiTheme="minorHAnsi"/>
        </w:rPr>
        <w:t>Tajā pat laikā</w:t>
      </w:r>
      <w:proofErr w:type="gramEnd"/>
      <w:r w:rsidRPr="0095132F">
        <w:rPr>
          <w:rFonts w:asciiTheme="minorHAnsi" w:hAnsiTheme="minorHAnsi"/>
        </w:rPr>
        <w:t>, netiek plānots, ka samazināsies VAAD sniegto pakalpojumu apjoms visās jomās, tātad uzņēmējiem un lauksaimniekiem tiks nodrošināta pakalpojumu pieejamība esošajā līmenī un apjomā, veicot plānu pārskatīšanu un pārstrukturēšanu VAAD iekšienē.</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Lai nodrošinātu VAAD deleģēto funkciju izpildi un akreditācijas prasību ieviešanu Nacionālā fitosanitārā laboratorijā, tās siltumnīcā, Nacionālā sēklu kontroles laboratorijā, Agroķīmijas laboratorijā Lielvārdes ielā 36/38, Rīgā, 2013.gadā tiks veikti nepieciešamie uzlabojumi ēkām, </w:t>
      </w:r>
      <w:r w:rsidRPr="0095132F">
        <w:rPr>
          <w:rFonts w:asciiTheme="minorHAnsi" w:hAnsiTheme="minorHAnsi"/>
        </w:rPr>
        <w:lastRenderedPageBreak/>
        <w:t xml:space="preserve">inženiertehniskām sistēmām. Tiks pārskatīts </w:t>
      </w:r>
      <w:proofErr w:type="gramStart"/>
      <w:r w:rsidRPr="0095132F">
        <w:rPr>
          <w:rFonts w:asciiTheme="minorHAnsi" w:hAnsiTheme="minorHAnsi"/>
        </w:rPr>
        <w:t>darba vietu</w:t>
      </w:r>
      <w:proofErr w:type="gramEnd"/>
      <w:r w:rsidRPr="0095132F">
        <w:rPr>
          <w:rFonts w:asciiTheme="minorHAnsi" w:hAnsiTheme="minorHAnsi"/>
        </w:rPr>
        <w:t xml:space="preserve"> izvietojums reģionālajās nodaļās, optimizējot adrešu skaitu un telpu platību. </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 xml:space="preserve">VAAD 2013.gadā plāno aktīvi piedalīties ēnu ekonomikas apkarošanas pasākumu īstenošanā, veicot darbības saistībā ar nelegālu vai viltotu AAL tirdzniecības un lietošanas ierobežošanu, kā arī veiks darbības noziedzīgu nodarījumu atklāšanas sekmēšanā AAL aprites, sēklu aprites, mēslošanas līdzekļu aprites un augu karantīnas jomā. </w:t>
      </w:r>
    </w:p>
    <w:p w:rsidR="0095132F" w:rsidRPr="00555E71" w:rsidRDefault="0095132F" w:rsidP="0095132F">
      <w:pPr>
        <w:widowControl w:val="0"/>
        <w:shd w:val="clear" w:color="auto" w:fill="FDE9D9" w:themeFill="accent6" w:themeFillTint="33"/>
        <w:spacing w:before="120"/>
        <w:jc w:val="both"/>
        <w:rPr>
          <w:rFonts w:asciiTheme="minorHAnsi" w:hAnsiTheme="minorHAnsi"/>
          <w:sz w:val="28"/>
        </w:rPr>
      </w:pPr>
      <w:r w:rsidRPr="00555E71">
        <w:rPr>
          <w:rFonts w:asciiTheme="minorHAnsi" w:hAnsiTheme="minorHAnsi"/>
          <w:sz w:val="28"/>
        </w:rPr>
        <w:t>2014.gada budžeta prioritātes</w:t>
      </w:r>
    </w:p>
    <w:p w:rsidR="0095132F" w:rsidRPr="0095132F" w:rsidRDefault="0095132F" w:rsidP="0095132F">
      <w:pPr>
        <w:pStyle w:val="naisc"/>
        <w:widowControl w:val="0"/>
        <w:tabs>
          <w:tab w:val="left" w:pos="-31680"/>
        </w:tabs>
        <w:spacing w:before="120"/>
        <w:jc w:val="both"/>
        <w:rPr>
          <w:rFonts w:asciiTheme="minorHAnsi" w:hAnsiTheme="minorHAnsi"/>
        </w:rPr>
      </w:pPr>
      <w:r w:rsidRPr="0095132F">
        <w:rPr>
          <w:rFonts w:asciiTheme="minorHAnsi" w:hAnsiTheme="minorHAnsi"/>
        </w:rPr>
        <w:t>2014.gadam un turpmākiem gadiem VAAD kā jaunās politikas iniciatīvas ar atbilstošu finansējumu izvirzīs:</w:t>
      </w:r>
    </w:p>
    <w:p w:rsidR="0095132F" w:rsidRPr="0095132F" w:rsidRDefault="0095132F" w:rsidP="001234C1">
      <w:pPr>
        <w:pStyle w:val="ListParagraph"/>
        <w:widowControl w:val="0"/>
        <w:numPr>
          <w:ilvl w:val="1"/>
          <w:numId w:val="6"/>
        </w:numPr>
        <w:spacing w:before="120"/>
        <w:ind w:left="426"/>
        <w:jc w:val="both"/>
        <w:rPr>
          <w:rFonts w:asciiTheme="minorHAnsi" w:hAnsiTheme="minorHAnsi"/>
        </w:rPr>
      </w:pPr>
      <w:r w:rsidRPr="0095132F">
        <w:rPr>
          <w:rFonts w:asciiTheme="minorHAnsi" w:hAnsiTheme="minorHAnsi"/>
        </w:rPr>
        <w:t xml:space="preserve">Pasākumus augkopības produkcijas ražošanas un eksporta produkcijas palielināšanai, paredzot līdzdalību jaunas augu veselības politikas izstrādē Eiropas Savienībā, kā arī bīstamā augu karantīnas organisma - priežu koksnes nematodes </w:t>
      </w:r>
      <w:proofErr w:type="spellStart"/>
      <w:r w:rsidRPr="0095132F">
        <w:rPr>
          <w:rFonts w:asciiTheme="minorHAnsi" w:hAnsiTheme="minorHAnsi"/>
        </w:rPr>
        <w:t>Bursaphelenchus</w:t>
      </w:r>
      <w:proofErr w:type="spellEnd"/>
      <w:r w:rsidRPr="0095132F">
        <w:rPr>
          <w:rFonts w:asciiTheme="minorHAnsi" w:hAnsiTheme="minorHAnsi"/>
        </w:rPr>
        <w:t xml:space="preserve"> </w:t>
      </w:r>
      <w:proofErr w:type="spellStart"/>
      <w:r w:rsidRPr="0095132F">
        <w:rPr>
          <w:rFonts w:asciiTheme="minorHAnsi" w:hAnsiTheme="minorHAnsi"/>
        </w:rPr>
        <w:t>xylophilus</w:t>
      </w:r>
      <w:proofErr w:type="spellEnd"/>
      <w:r w:rsidRPr="0095132F">
        <w:rPr>
          <w:rFonts w:asciiTheme="minorHAnsi" w:hAnsiTheme="minorHAnsi"/>
        </w:rPr>
        <w:t xml:space="preserve">, kas izraisa skujkoku masveida bojā eju, izplatības ierobežošanas vai apkarošanas pasākumu īstenošanas programmas izstrādi; </w:t>
      </w:r>
    </w:p>
    <w:p w:rsidR="0095132F" w:rsidRPr="0095132F" w:rsidRDefault="0095132F" w:rsidP="001234C1">
      <w:pPr>
        <w:pStyle w:val="ListParagraph"/>
        <w:widowControl w:val="0"/>
        <w:numPr>
          <w:ilvl w:val="1"/>
          <w:numId w:val="6"/>
        </w:numPr>
        <w:spacing w:before="120"/>
        <w:ind w:left="426"/>
        <w:jc w:val="both"/>
        <w:rPr>
          <w:rFonts w:asciiTheme="minorHAnsi" w:hAnsiTheme="minorHAnsi"/>
        </w:rPr>
      </w:pPr>
      <w:r w:rsidRPr="0095132F">
        <w:rPr>
          <w:rFonts w:asciiTheme="minorHAnsi" w:hAnsiTheme="minorHAnsi"/>
        </w:rPr>
        <w:t>Augsnes un Dabas resursu ilgtspējīga izmantošanu, pielietojot vidi saudzējošas tehnoloģijas augkopības jomā, tajā ietverot arī Latvijas rīcības plānā AAL ilgtspējīgai izmantošanai 2013.–2017.gadam paredzētos pasākumus;</w:t>
      </w:r>
    </w:p>
    <w:p w:rsidR="0095132F" w:rsidRPr="0095132F" w:rsidRDefault="0095132F" w:rsidP="001234C1">
      <w:pPr>
        <w:pStyle w:val="ListParagraph"/>
        <w:widowControl w:val="0"/>
        <w:numPr>
          <w:ilvl w:val="1"/>
          <w:numId w:val="6"/>
        </w:numPr>
        <w:spacing w:before="120"/>
        <w:ind w:left="426"/>
        <w:jc w:val="both"/>
        <w:rPr>
          <w:rFonts w:asciiTheme="minorHAnsi" w:hAnsiTheme="minorHAnsi"/>
        </w:rPr>
      </w:pPr>
      <w:r w:rsidRPr="0095132F">
        <w:rPr>
          <w:rFonts w:asciiTheme="minorHAnsi" w:hAnsiTheme="minorHAnsi"/>
        </w:rPr>
        <w:t>VAAD administratīvās kapacitātes palielināšanu – atlīdzības palielināšanu, novecojušā autoparka atjaunošanu u.c. pasākumus.</w:t>
      </w:r>
    </w:p>
    <w:p w:rsidR="00C34B4F" w:rsidRDefault="0095132F" w:rsidP="0095132F">
      <w:pPr>
        <w:widowControl w:val="0"/>
        <w:spacing w:before="120"/>
        <w:jc w:val="center"/>
        <w:rPr>
          <w:rFonts w:asciiTheme="minorHAnsi" w:hAnsiTheme="minorHAnsi"/>
          <w:color w:val="4A442A" w:themeColor="background2" w:themeShade="40"/>
          <w:sz w:val="44"/>
        </w:rPr>
      </w:pPr>
      <w:r w:rsidRPr="00555E71">
        <w:rPr>
          <w:rFonts w:asciiTheme="minorHAnsi" w:hAnsiTheme="minorHAnsi"/>
          <w:color w:val="4A442A" w:themeColor="background2" w:themeShade="40"/>
          <w:sz w:val="44"/>
        </w:rPr>
        <w:t> </w:t>
      </w:r>
    </w:p>
    <w:p w:rsidR="0095132F" w:rsidRPr="00555E71" w:rsidRDefault="00C34B4F" w:rsidP="00EC3280">
      <w:pPr>
        <w:pStyle w:val="Heading2"/>
      </w:pPr>
      <w:r>
        <w:br w:type="page"/>
      </w:r>
      <w:bookmarkStart w:id="12" w:name="_Toc363572022"/>
      <w:bookmarkStart w:id="13" w:name="_Toc364414720"/>
      <w:bookmarkStart w:id="14" w:name="_Toc364414862"/>
      <w:r w:rsidR="0095132F" w:rsidRPr="00555E71">
        <w:lastRenderedPageBreak/>
        <w:t>4.</w:t>
      </w:r>
      <w:r w:rsidR="0095132F" w:rsidRPr="00555E71">
        <w:tab/>
        <w:t xml:space="preserve">2012.gada </w:t>
      </w:r>
      <w:r w:rsidR="00555E71" w:rsidRPr="00555E71">
        <w:t xml:space="preserve">DARBĪBAS </w:t>
      </w:r>
      <w:r w:rsidR="0095132F" w:rsidRPr="00555E71">
        <w:t>REZULTĀTI</w:t>
      </w:r>
      <w:bookmarkEnd w:id="12"/>
      <w:bookmarkEnd w:id="13"/>
      <w:bookmarkEnd w:id="14"/>
    </w:p>
    <w:p w:rsidR="00415F43" w:rsidRDefault="0095132F" w:rsidP="00EC3280">
      <w:pPr>
        <w:pStyle w:val="Heading3"/>
      </w:pPr>
      <w:r w:rsidRPr="00555E71">
        <w:t> </w:t>
      </w:r>
      <w:bookmarkStart w:id="15" w:name="_Toc363572023"/>
      <w:bookmarkStart w:id="16" w:name="_Toc364414721"/>
      <w:bookmarkStart w:id="17" w:name="_Toc364414863"/>
      <w:r w:rsidR="00415F43" w:rsidRPr="00555E71">
        <w:t xml:space="preserve">4.1. </w:t>
      </w:r>
      <w:r w:rsidR="00591964">
        <w:t>Augu aizsardzības joma</w:t>
      </w:r>
      <w:bookmarkEnd w:id="15"/>
      <w:bookmarkEnd w:id="16"/>
      <w:bookmarkEnd w:id="17"/>
      <w:r w:rsidR="00415F43" w:rsidRPr="00415F43">
        <w:t> </w:t>
      </w:r>
    </w:p>
    <w:p w:rsidR="00FC4D31" w:rsidRPr="00415F43" w:rsidRDefault="00FC4D31" w:rsidP="00FC4D31">
      <w:pPr>
        <w:pStyle w:val="virsraksts"/>
        <w:rPr>
          <w:b/>
          <w:color w:val="000000"/>
          <w:sz w:val="20"/>
          <w:szCs w:val="20"/>
        </w:rPr>
      </w:pPr>
    </w:p>
    <w:p w:rsidR="00591964" w:rsidRPr="00FC4D31" w:rsidRDefault="00591964" w:rsidP="00FC4D31">
      <w:pPr>
        <w:widowControl w:val="0"/>
        <w:shd w:val="clear" w:color="auto" w:fill="EAF1DD" w:themeFill="accent3" w:themeFillTint="33"/>
        <w:spacing w:before="120"/>
        <w:jc w:val="both"/>
        <w:rPr>
          <w:rFonts w:asciiTheme="minorHAnsi" w:hAnsiTheme="minorHAnsi"/>
          <w:sz w:val="28"/>
        </w:rPr>
      </w:pPr>
      <w:r w:rsidRPr="00FC4D31">
        <w:rPr>
          <w:rFonts w:asciiTheme="minorHAnsi" w:hAnsiTheme="minorHAnsi"/>
          <w:sz w:val="28"/>
        </w:rPr>
        <w:t xml:space="preserve">4.1.1. Augu aizsardzības līdzekļu reģistrācija un uzraudzība </w:t>
      </w:r>
    </w:p>
    <w:p w:rsidR="00591964" w:rsidRPr="00615043" w:rsidRDefault="00591964" w:rsidP="00591964">
      <w:pPr>
        <w:widowControl w:val="0"/>
        <w:spacing w:before="120"/>
        <w:jc w:val="both"/>
        <w:rPr>
          <w:rFonts w:asciiTheme="minorHAnsi" w:hAnsiTheme="minorHAnsi"/>
          <w:sz w:val="4"/>
          <w:szCs w:val="4"/>
        </w:rPr>
      </w:pPr>
    </w:p>
    <w:p w:rsidR="00415F43" w:rsidRPr="00415F43" w:rsidRDefault="00415F43" w:rsidP="00415F43">
      <w:pPr>
        <w:widowControl w:val="0"/>
        <w:shd w:val="clear" w:color="auto" w:fill="EAF1DD" w:themeFill="accent3" w:themeFillTint="33"/>
        <w:spacing w:before="120"/>
        <w:jc w:val="both"/>
        <w:rPr>
          <w:rFonts w:asciiTheme="minorHAnsi" w:hAnsiTheme="minorHAnsi"/>
          <w:sz w:val="28"/>
        </w:rPr>
      </w:pPr>
      <w:r w:rsidRPr="00415F43">
        <w:rPr>
          <w:rFonts w:asciiTheme="minorHAnsi" w:hAnsiTheme="minorHAnsi"/>
          <w:sz w:val="28"/>
        </w:rPr>
        <w:t xml:space="preserve">Izmaiņas </w:t>
      </w:r>
      <w:r w:rsidR="00FC4D31">
        <w:rPr>
          <w:rFonts w:asciiTheme="minorHAnsi" w:hAnsiTheme="minorHAnsi"/>
          <w:sz w:val="28"/>
        </w:rPr>
        <w:t>2012.</w:t>
      </w:r>
      <w:r w:rsidRPr="00415F43">
        <w:rPr>
          <w:rFonts w:asciiTheme="minorHAnsi" w:hAnsiTheme="minorHAnsi"/>
          <w:sz w:val="28"/>
        </w:rPr>
        <w:t xml:space="preserve"> gada laikā</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2012.gadā augu aizsardzības jomā turpināta 2009.gada 21.oktobra Eiropas Parlamenta un Padomes Direktīvas 2009/128/EK, ar kuru nosaka Kopienas sistēmu pesticīdu ilgtspējīgas lietošanas nodrošināšanai, prasību pārņemšana Latvijas likumdošanā - 2012.gada 10.jūlijā. Pieņemti Ministru kabineta noteikumi Nr.491 „Noteikumi par augu aizsardzības līdzekļu lietošanas iekārtām”, kā arī, lai precizētu 2009.gada 21.oktobra Eiropas Parlamenta un Padomes Regulas Nr.1107/2009/EK nosacījumus par augu aizsardzības līdzekļu laišanu tirgū, 2012.gada 24.jūlijā pieņemti Ministru kabineta noteikumi Nr. 509 „Noteikumi par augu aizsardzības līdzekļu laišanu tirgū saskaņā ar Regulu Nr.1107/2009”. Turpināts iepriekšējā gadā uzsāktais darbs noteikumu par profesionālo AAL lietotāju, AAL lietošanas operatoru, AAL pārdevēju un augu aizsardzības konsultantu apmācību izstrādē un darbs pie valsts vēsturē pirmā rīcības plāna izstrādes AAL ilgtspējīgai izmantošanai.</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Saskaņā ar 2009. gada 25. novembra Eiropas Parlamenta un Padomes Regulu Nr.1185/2009/EK attiecībā uz statistiku par pesticīdiem, 2012.gadā Centrālā statistikas pārvalde (turpmāk – Pārvalde) organizēja apsekojumu, kurā VAAD</w:t>
      </w:r>
      <w:proofErr w:type="gramStart"/>
      <w:r w:rsidRPr="00415F43">
        <w:rPr>
          <w:rFonts w:asciiTheme="minorHAnsi" w:hAnsiTheme="minorHAnsi"/>
        </w:rPr>
        <w:t xml:space="preserve">  </w:t>
      </w:r>
      <w:proofErr w:type="gramEnd"/>
      <w:r w:rsidRPr="00415F43">
        <w:rPr>
          <w:rFonts w:asciiTheme="minorHAnsi" w:hAnsiTheme="minorHAnsi"/>
        </w:rPr>
        <w:t xml:space="preserve">inspektori iesaistījās statistikas datu vākšanā no Pārvaldes atlasītām 4000 lauku saimniecībām par 2012.gadā graudaugos un rapsī lietotajiem AAL. </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Tā kā 2011.gadā tika pieņemti vairāki jauni Ministru kabineta noteikumi attiecībā uz AAL laišanu tirgū un lietošanu, 2012.gadā viens no galvenajiem uzdevumiem bija VAAD</w:t>
      </w:r>
      <w:proofErr w:type="gramStart"/>
      <w:r w:rsidRPr="00415F43">
        <w:rPr>
          <w:rFonts w:asciiTheme="minorHAnsi" w:hAnsiTheme="minorHAnsi"/>
        </w:rPr>
        <w:t xml:space="preserve">  </w:t>
      </w:r>
      <w:proofErr w:type="gramEnd"/>
      <w:r w:rsidRPr="00415F43">
        <w:rPr>
          <w:rFonts w:asciiTheme="minorHAnsi" w:hAnsiTheme="minorHAnsi"/>
        </w:rPr>
        <w:t>iekšējo normatīvo aktu izstrāde, informācijas gatavošana reģionālajām nodaļām klientu informēšanai semināros par jaunumiem likumdošanā, grozījumu un papildinājumu veikšana mācību materiālos u.t.t.</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 xml:space="preserve">Pamatojoties uz Augu aizsardzības likumu, komersantam, kas laiž tirgū AAL, jānodrošina tā aprite un uzskaite, AAL izplatīšanas, glabāšanas un lietošanas regulējošos normatīvajos aktos noteiktajā kārtībā un katru gadu līdz 1.aprīlim jāiesniedz VAAD informācija par iepriekšējo kalendāra gadu, norādot, kuri AAL un kādā daudzumā realizēti lietotājiem. Lai atvieglotu šīs sistēmas darbību un mazinātu administratīvo slogu komersantiem, pārskata gadā </w:t>
      </w:r>
      <w:r w:rsidR="00DB586F">
        <w:rPr>
          <w:rFonts w:asciiTheme="minorHAnsi" w:hAnsiTheme="minorHAnsi"/>
        </w:rPr>
        <w:t>VAAD</w:t>
      </w:r>
      <w:r w:rsidRPr="00415F43">
        <w:rPr>
          <w:rFonts w:asciiTheme="minorHAnsi" w:hAnsiTheme="minorHAnsi"/>
        </w:rPr>
        <w:t xml:space="preserve"> strādāja pie elektroniskās datu iesniegšanas sistēmas izveidošanas -</w:t>
      </w:r>
      <w:proofErr w:type="gramStart"/>
      <w:r w:rsidRPr="00415F43">
        <w:rPr>
          <w:rFonts w:asciiTheme="minorHAnsi" w:hAnsiTheme="minorHAnsi"/>
        </w:rPr>
        <w:t xml:space="preserve">  </w:t>
      </w:r>
      <w:proofErr w:type="gramEnd"/>
      <w:r w:rsidRPr="00415F43">
        <w:rPr>
          <w:rFonts w:asciiTheme="minorHAnsi" w:hAnsiTheme="minorHAnsi"/>
        </w:rPr>
        <w:t>e-pakalpojuma „Pārskats par izplatītajiem augu aizsardzības līdzekļiem.”</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 xml:space="preserve">AAL reģistrācijas jomā, 2012.gads paliks vēsturē ar to, ka šajā gadā tika pabeigta AAL novērtēšanas un reģistrācijas procedūra saskaņā ar direktīvu 414/1991/EEK- tika izskatīti visi līdz 2011.gada 14.jūnijam iesniegtie iesniegumi par AAL reģistrāciju un pieņemti lēmumi par AAL iekļaušanu vai neiekļaušanu Latvijas Republikā reģistrēto AAL sarakstā. Tas nozīmē, ka turpmāk Latvijā AAL izvērtēšana un reģistrācija notiks tikai saskaņā ar 2009.gada 21.oktobra Eiropas Parlamenta un Padomes Regulu 1107/2009/EK par AAL laišanu tirgū. Jaunā kārtība, citu starpā, paredz zonālo AAL izvērtēšanas procedūru, taču, lai šo procedūru īstenotu, vienai valstij zonā ir jāuzņemas procesa koordinētāja pienākumi. 2012.gada nogalē Ziemeļu zonas koordinatoru sanāksmē tika pieņemts lēmums par to, ka Ziemeļu zonā koordinatores valsts pienākumus 2013.gadā, šajā darbā nomainot Somiju, veiks Latvija. Mēs esam pirmā Baltijas </w:t>
      </w:r>
      <w:r w:rsidRPr="00415F43">
        <w:rPr>
          <w:rFonts w:asciiTheme="minorHAnsi" w:hAnsiTheme="minorHAnsi"/>
        </w:rPr>
        <w:lastRenderedPageBreak/>
        <w:t xml:space="preserve">valsts, kura ir uzņēmusies pildīt šos pienākumus. Tas, ka tika izvēlētā Latvija, nozīmē to, ka mūsu ekspertu darbs ir pamanīts un novērtēts. </w:t>
      </w:r>
    </w:p>
    <w:p w:rsid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2012.gadā 10.-14. septembrī, lai novērtētu pesticīdu (AAL) kontroli, Latvijā ar revīziju bija ieradušies Pārtikas un veterinārais biroja (PVB) pārstāvji. Revīzijas rezultātā tika secināts, ka valstī ir izstrādāta AAL atļauju piešķiršanas, tirdzniecības un izmantošanas sistēma ar stabilu juridisko pamatu, kas atbilst ES tiesību aktos noteiktajām prasībām, kontroles ir labi sagatavotas, un tās veic kvalificēti un apmācīti darbinieki.</w:t>
      </w:r>
    </w:p>
    <w:p w:rsidR="0062068F" w:rsidRPr="00415F43" w:rsidRDefault="0062068F" w:rsidP="00415F43">
      <w:pPr>
        <w:pStyle w:val="naisc"/>
        <w:widowControl w:val="0"/>
        <w:tabs>
          <w:tab w:val="left" w:pos="-31680"/>
        </w:tabs>
        <w:spacing w:before="120"/>
        <w:jc w:val="both"/>
        <w:rPr>
          <w:rFonts w:asciiTheme="minorHAnsi" w:hAnsiTheme="minorHAnsi"/>
        </w:rPr>
      </w:pPr>
      <w:r>
        <w:rPr>
          <w:rFonts w:asciiTheme="minorHAnsi" w:hAnsiTheme="minorHAnsi"/>
        </w:rPr>
        <w:tab/>
      </w:r>
    </w:p>
    <w:p w:rsidR="00415F43" w:rsidRPr="00415F43" w:rsidRDefault="00415F43" w:rsidP="00415F43">
      <w:pPr>
        <w:widowControl w:val="0"/>
        <w:shd w:val="clear" w:color="auto" w:fill="EAF1DD" w:themeFill="accent3" w:themeFillTint="33"/>
        <w:spacing w:before="120"/>
        <w:jc w:val="both"/>
        <w:rPr>
          <w:rFonts w:asciiTheme="minorHAnsi" w:hAnsiTheme="minorHAnsi"/>
          <w:sz w:val="28"/>
        </w:rPr>
      </w:pPr>
      <w:r w:rsidRPr="00415F43">
        <w:rPr>
          <w:rFonts w:asciiTheme="minorHAnsi" w:hAnsiTheme="minorHAnsi"/>
          <w:sz w:val="28"/>
        </w:rPr>
        <w:t>Sniegtie pakalpojumi</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Pārskata periodā Latvijā reģistrēto AAL sarakstā iekļauts 31 jauns AAL, no tiem 12 AAL piemērojot citas valsts reģistrācijas atzīšanas procedūru. Trim AAL papildināts lietojums, 6 AAL anulēti no reģistra, kā arī veiktas izmaiņas 69 reģistrētu AAL dokumentācijā - mainīts reģistrācijas īpašnieks; iepakojuma lielums u.t.t.</w:t>
      </w:r>
    </w:p>
    <w:p w:rsidR="00FC4D31" w:rsidRDefault="00415F43" w:rsidP="00FC4D31">
      <w:pPr>
        <w:widowControl w:val="0"/>
        <w:rPr>
          <w:i/>
          <w:iCs/>
          <w:color w:val="555F00"/>
        </w:rPr>
      </w:pPr>
      <w:r w:rsidRPr="00415F43">
        <w:rPr>
          <w:rFonts w:asciiTheme="minorHAnsi" w:hAnsiTheme="minorHAnsi"/>
        </w:rPr>
        <w:t>2012.gada nogalē AAL reģistrā bija 300 AAL - skaitliski visvairāk reģistrā ir herbicīdu- 127, pēc tam fungicīdu-94, u.t.t. (4.1.attēls).</w:t>
      </w:r>
      <w:r w:rsidR="00FC4D31" w:rsidRPr="00FC4D31">
        <w:rPr>
          <w:i/>
          <w:iCs/>
          <w:color w:val="555F00"/>
        </w:rPr>
        <w:t xml:space="preserve"> </w:t>
      </w:r>
    </w:p>
    <w:p w:rsidR="00FC4D31" w:rsidRDefault="00FC4D31" w:rsidP="00FC4D31">
      <w:pPr>
        <w:pStyle w:val="grafikiem"/>
      </w:pPr>
      <w:r>
        <w:t>Reģistrēto augu aizsardzības līdzekļu sadalījums pēc lietošanas kategorijām (situācija uz 2012.gada 31.decembri) (4.1.)</w:t>
      </w:r>
    </w:p>
    <w:p w:rsidR="00FC4D31" w:rsidRDefault="00FC4D31" w:rsidP="00FC4D31">
      <w:pPr>
        <w:widowControl w:val="0"/>
        <w:rPr>
          <w:i/>
          <w:iCs/>
          <w:color w:val="555F00"/>
        </w:rPr>
      </w:pPr>
      <w:r>
        <w:rPr>
          <w:i/>
          <w:iCs/>
          <w:noProof/>
          <w:color w:val="555F00"/>
        </w:rPr>
        <w:drawing>
          <wp:inline distT="0" distB="0" distL="0" distR="0" wp14:anchorId="2E42914A" wp14:editId="4ACC89B7">
            <wp:extent cx="4953000" cy="29718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2971800"/>
                    </a:xfrm>
                    <a:prstGeom prst="rect">
                      <a:avLst/>
                    </a:prstGeom>
                    <a:noFill/>
                    <a:ln>
                      <a:noFill/>
                    </a:ln>
                  </pic:spPr>
                </pic:pic>
              </a:graphicData>
            </a:graphic>
          </wp:inline>
        </w:drawing>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 xml:space="preserve">Tāpat kā iepriekšējos gadus, arī pārskata periodā esam turpinājuši sadarbību ar Latvijas dārzeņu audzētājiem, kuri visvairāk savā darbībā izjūt AAL trūkumu. Dārzeņu audzētājiem izsniegtas atļaujas 3 nereģistrētu AAL izplatīšanai un lietošanai, kā arī atļaujas 2 reģistrētu AAL lietošanas jomas paplašinājumam. Nereģistrētu AAL izplatīšanai ir izsniegtas atļaujas arī Latvijas Valsts mežiem (2 AAL), kokmateriālu eksportētājiem uz </w:t>
      </w:r>
      <w:proofErr w:type="spellStart"/>
      <w:r w:rsidRPr="00415F43">
        <w:rPr>
          <w:rFonts w:asciiTheme="minorHAnsi" w:hAnsiTheme="minorHAnsi"/>
        </w:rPr>
        <w:t>trešām</w:t>
      </w:r>
      <w:proofErr w:type="spellEnd"/>
      <w:r w:rsidRPr="00415F43">
        <w:rPr>
          <w:rFonts w:asciiTheme="minorHAnsi" w:hAnsiTheme="minorHAnsi"/>
        </w:rPr>
        <w:t xml:space="preserve"> valstīm (1 AAL), “Rīgas Dārzeņiem” (1 AAL).</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2012.gadā izsniegtas 12 atļaujas AAL paralēlajai tirdzniecībai, palielinot līdz šim izsniegto atļauju skaitu līdz 14 atļaujām.</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 xml:space="preserve">Pārskata periodā izsniegts viens sertifikāts AAL efektivitātes izmēģinājumu veicējam, tādējādi bez VSAI „Latvijas Augu aizsardzības pētniecības centrs”, Latvijā tiesības veikt AAL efektivitātes pārbaudes izmēģinājumus ir arī SIA </w:t>
      </w:r>
      <w:proofErr w:type="spellStart"/>
      <w:r w:rsidRPr="00415F43">
        <w:rPr>
          <w:rFonts w:asciiTheme="minorHAnsi" w:hAnsiTheme="minorHAnsi"/>
        </w:rPr>
        <w:t>AgroLab</w:t>
      </w:r>
      <w:proofErr w:type="spellEnd"/>
      <w:r w:rsidRPr="00415F43">
        <w:rPr>
          <w:rFonts w:asciiTheme="minorHAnsi" w:hAnsiTheme="minorHAnsi"/>
        </w:rPr>
        <w:t xml:space="preserve"> Baltic.</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lastRenderedPageBreak/>
        <w:t xml:space="preserve">Arī 2012.gadā turpinājām iepriekšējos gados uzsākto sadarbību ar Ziemeļu - Baltijas valstu ekspertiem AAL izvērtēšanas un reģistrācijas jomā, piedaloties 11 </w:t>
      </w:r>
      <w:proofErr w:type="spellStart"/>
      <w:r w:rsidRPr="00415F43">
        <w:rPr>
          <w:rFonts w:asciiTheme="minorHAnsi" w:hAnsiTheme="minorHAnsi"/>
        </w:rPr>
        <w:t>telefonkonferencēs</w:t>
      </w:r>
      <w:proofErr w:type="spellEnd"/>
      <w:r w:rsidRPr="00415F43">
        <w:rPr>
          <w:rFonts w:asciiTheme="minorHAnsi" w:hAnsiTheme="minorHAnsi"/>
        </w:rPr>
        <w:t xml:space="preserve"> (</w:t>
      </w:r>
      <w:proofErr w:type="spellStart"/>
      <w:r w:rsidRPr="00415F43">
        <w:rPr>
          <w:rFonts w:asciiTheme="minorHAnsi" w:hAnsiTheme="minorHAnsi"/>
        </w:rPr>
        <w:t>t.sk</w:t>
      </w:r>
      <w:proofErr w:type="spellEnd"/>
      <w:r w:rsidRPr="00415F43">
        <w:rPr>
          <w:rFonts w:asciiTheme="minorHAnsi" w:hAnsiTheme="minorHAnsi"/>
        </w:rPr>
        <w:t xml:space="preserve"> 1- toksikoloģijas un 2 </w:t>
      </w:r>
      <w:proofErr w:type="spellStart"/>
      <w:r w:rsidRPr="00415F43">
        <w:rPr>
          <w:rFonts w:asciiTheme="minorHAnsi" w:hAnsiTheme="minorHAnsi"/>
        </w:rPr>
        <w:t>ekotoksikoloģijas</w:t>
      </w:r>
      <w:proofErr w:type="spellEnd"/>
      <w:r w:rsidRPr="00415F43">
        <w:rPr>
          <w:rFonts w:asciiTheme="minorHAnsi" w:hAnsiTheme="minorHAnsi"/>
        </w:rPr>
        <w:t xml:space="preserve"> ekspertiem). Pieci VAAD darbinieki 2012.gada oktobrī piedalījās ekspertu darba grupas sanāksmē Helsinkos par AAL novērtējumu harmonizāciju.</w: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 xml:space="preserve">Eiropas Parlamenta un Padomes Regulas Nr.1107/2009/EK par AAL laišanu tirgū ietvaros Ziemeļu zonā 2012.gadā Latvija bija nominēta par ziņotāju dalībvalsti piecu jaunu AAL novērtējuma sagatavošanai, kā arī par ziņotāju dalībvalsti 17 jau reģistrētu AAL atkārtotai novērtēšanai. </w:t>
      </w:r>
    </w:p>
    <w:p w:rsidR="00FC4D31" w:rsidRDefault="00415F43" w:rsidP="00FC4D31">
      <w:pPr>
        <w:widowControl w:val="0"/>
        <w:jc w:val="both"/>
        <w:rPr>
          <w:i/>
          <w:iCs/>
          <w:color w:val="555F00"/>
          <w:sz w:val="16"/>
          <w:szCs w:val="16"/>
        </w:rPr>
      </w:pPr>
      <w:r w:rsidRPr="00415F43">
        <w:rPr>
          <w:rFonts w:asciiTheme="minorHAnsi" w:hAnsiTheme="minorHAnsi"/>
        </w:rPr>
        <w:t>Ja vērtējam AAL patēriņu Latvijā, tad pēdējos gados ir novērojams gala lietotājiem izplatīto augu AAL pieaugums. Pārskata</w:t>
      </w:r>
      <w:r>
        <w:rPr>
          <w:rFonts w:asciiTheme="minorHAnsi" w:hAnsiTheme="minorHAnsi"/>
        </w:rPr>
        <w:tab/>
      </w:r>
      <w:r w:rsidRPr="00415F43">
        <w:rPr>
          <w:rFonts w:asciiTheme="minorHAnsi" w:hAnsiTheme="minorHAnsi"/>
        </w:rPr>
        <w:t xml:space="preserve"> periodā, rēķinot pēc AAL darbīgajām vielām, tika izplatītas darbīgās vielas par 216 t vairāk kā 2011.gadā (sk. 4.2.attēlu).</w:t>
      </w:r>
      <w:r w:rsidR="00FC4D31" w:rsidRPr="00FC4D31">
        <w:rPr>
          <w:i/>
          <w:iCs/>
          <w:color w:val="555F00"/>
          <w:sz w:val="16"/>
          <w:szCs w:val="16"/>
        </w:rPr>
        <w:t xml:space="preserve"> </w:t>
      </w:r>
    </w:p>
    <w:p w:rsidR="00FC4D31" w:rsidRDefault="00FC4D31" w:rsidP="00FC4D31">
      <w:pPr>
        <w:widowControl w:val="0"/>
        <w:jc w:val="both"/>
        <w:rPr>
          <w:i/>
          <w:iCs/>
          <w:color w:val="555F00"/>
          <w:sz w:val="16"/>
          <w:szCs w:val="16"/>
        </w:rPr>
      </w:pPr>
    </w:p>
    <w:p w:rsidR="00FC4D31" w:rsidRPr="0062068F" w:rsidRDefault="00FC4D31" w:rsidP="00FC4D31">
      <w:pPr>
        <w:pStyle w:val="grafikiem"/>
      </w:pPr>
      <w:r w:rsidRPr="0062068F">
        <w:t>2008.—2012.gadā Latvijā gala lietotājiem izplatīto darbīgo vielu kopsvars, tonnas (fiziskajā svarā)</w:t>
      </w:r>
      <w:r>
        <w:t xml:space="preserve"> (4.2.)</w:t>
      </w:r>
    </w:p>
    <w:p w:rsidR="00415F43" w:rsidRPr="00415F43" w:rsidRDefault="00FC4D31" w:rsidP="00415F43">
      <w:pPr>
        <w:pStyle w:val="naisc"/>
        <w:widowControl w:val="0"/>
        <w:tabs>
          <w:tab w:val="left" w:pos="-31680"/>
        </w:tabs>
        <w:spacing w:before="120"/>
        <w:jc w:val="both"/>
        <w:rPr>
          <w:rFonts w:asciiTheme="minorHAnsi" w:hAnsiTheme="minorHAnsi"/>
        </w:rPr>
      </w:pPr>
      <w:r>
        <w:rPr>
          <w:rFonts w:asciiTheme="minorHAnsi" w:hAnsiTheme="minorHAnsi"/>
          <w:noProof/>
        </w:rPr>
        <mc:AlternateContent>
          <mc:Choice Requires="wpg">
            <w:drawing>
              <wp:inline distT="0" distB="0" distL="0" distR="0" wp14:anchorId="23CC1669" wp14:editId="67848752">
                <wp:extent cx="4076700" cy="1734185"/>
                <wp:effectExtent l="0" t="0" r="0" b="0"/>
                <wp:docPr id="11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0" cy="1734185"/>
                          <a:chOff x="1102501" y="1107950"/>
                          <a:chExt cx="33315" cy="14964"/>
                        </a:xfrm>
                      </wpg:grpSpPr>
                      <pic:pic xmlns:pic="http://schemas.openxmlformats.org/drawingml/2006/picture">
                        <pic:nvPicPr>
                          <pic:cNvPr id="117" name="Picture 89"/>
                          <pic:cNvPicPr>
                            <a:picLocks noChangeAspect="1" noChangeArrowheads="1"/>
                          </pic:cNvPicPr>
                        </pic:nvPicPr>
                        <pic:blipFill>
                          <a:blip r:embed="rId17">
                            <a:extLst>
                              <a:ext uri="{28A0092B-C50C-407E-A947-70E740481C1C}">
                                <a14:useLocalDpi xmlns:a14="http://schemas.microsoft.com/office/drawing/2010/main" val="0"/>
                              </a:ext>
                            </a:extLst>
                          </a:blip>
                          <a:srcRect l="1213" t="19902" r="13918" b="11862"/>
                          <a:stretch>
                            <a:fillRect/>
                          </a:stretch>
                        </pic:blipFill>
                        <pic:spPr bwMode="auto">
                          <a:xfrm>
                            <a:off x="1102501" y="1107950"/>
                            <a:ext cx="33315" cy="13288"/>
                          </a:xfrm>
                          <a:prstGeom prst="rect">
                            <a:avLst/>
                          </a:prstGeom>
                          <a:noFill/>
                          <a:extLst>
                            <a:ext uri="{909E8E84-426E-40DD-AFC4-6F175D3DCCD1}">
                              <a14:hiddenFill xmlns:a14="http://schemas.microsoft.com/office/drawing/2010/main">
                                <a:solidFill>
                                  <a:srgbClr val="FFFFFF"/>
                                </a:solidFill>
                              </a14:hiddenFill>
                            </a:ext>
                          </a:extLst>
                        </pic:spPr>
                      </pic:pic>
                      <wps:wsp>
                        <wps:cNvPr id="118" name="Text Box 90"/>
                        <wps:cNvSpPr txBox="1">
                          <a:spLocks noChangeArrowheads="1"/>
                        </wps:cNvSpPr>
                        <wps:spPr bwMode="auto">
                          <a:xfrm>
                            <a:off x="1109432" y="112080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FC4D31">
                              <w:pPr>
                                <w:widowControl w:val="0"/>
                                <w:jc w:val="center"/>
                                <w:rPr>
                                  <w:color w:val="383F00"/>
                                  <w:sz w:val="18"/>
                                  <w:szCs w:val="18"/>
                                </w:rPr>
                              </w:pPr>
                              <w:r>
                                <w:rPr>
                                  <w:color w:val="383F00"/>
                                  <w:sz w:val="18"/>
                                  <w:szCs w:val="18"/>
                                </w:rPr>
                                <w:t>2008</w:t>
                              </w:r>
                            </w:p>
                          </w:txbxContent>
                        </wps:txbx>
                        <wps:bodyPr rot="0" vert="horz" wrap="square" lIns="36576" tIns="36576" rIns="36576" bIns="36576" anchor="t" anchorCtr="0" upright="1">
                          <a:noAutofit/>
                        </wps:bodyPr>
                      </wps:wsp>
                      <wps:wsp>
                        <wps:cNvPr id="119" name="Text Box 91"/>
                        <wps:cNvSpPr txBox="1">
                          <a:spLocks noChangeArrowheads="1"/>
                        </wps:cNvSpPr>
                        <wps:spPr bwMode="auto">
                          <a:xfrm>
                            <a:off x="1114194" y="1120809"/>
                            <a:ext cx="3230"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FC4D31">
                              <w:pPr>
                                <w:widowControl w:val="0"/>
                                <w:jc w:val="center"/>
                                <w:rPr>
                                  <w:sz w:val="18"/>
                                  <w:szCs w:val="18"/>
                                </w:rPr>
                              </w:pPr>
                              <w:r>
                                <w:rPr>
                                  <w:color w:val="383F00"/>
                                  <w:sz w:val="18"/>
                                  <w:szCs w:val="18"/>
                                </w:rPr>
                                <w:t>2009</w:t>
                              </w:r>
                            </w:p>
                          </w:txbxContent>
                        </wps:txbx>
                        <wps:bodyPr rot="0" vert="horz" wrap="square" lIns="36576" tIns="36576" rIns="36576" bIns="36576" anchor="t" anchorCtr="0" upright="1">
                          <a:noAutofit/>
                        </wps:bodyPr>
                      </wps:wsp>
                      <wps:wsp>
                        <wps:cNvPr id="120" name="Text Box 92"/>
                        <wps:cNvSpPr txBox="1">
                          <a:spLocks noChangeArrowheads="1"/>
                        </wps:cNvSpPr>
                        <wps:spPr bwMode="auto">
                          <a:xfrm>
                            <a:off x="1118719" y="112080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FC4D31">
                              <w:pPr>
                                <w:widowControl w:val="0"/>
                                <w:jc w:val="center"/>
                                <w:rPr>
                                  <w:sz w:val="18"/>
                                  <w:szCs w:val="18"/>
                                </w:rPr>
                              </w:pPr>
                              <w:r>
                                <w:rPr>
                                  <w:color w:val="383F00"/>
                                  <w:sz w:val="18"/>
                                  <w:szCs w:val="18"/>
                                </w:rPr>
                                <w:t>2010</w:t>
                              </w:r>
                            </w:p>
                          </w:txbxContent>
                        </wps:txbx>
                        <wps:bodyPr rot="0" vert="horz" wrap="square" lIns="36576" tIns="36576" rIns="36576" bIns="36576" anchor="t" anchorCtr="0" upright="1">
                          <a:noAutofit/>
                        </wps:bodyPr>
                      </wps:wsp>
                      <wps:wsp>
                        <wps:cNvPr id="121" name="Text Box 93"/>
                        <wps:cNvSpPr txBox="1">
                          <a:spLocks noChangeArrowheads="1"/>
                        </wps:cNvSpPr>
                        <wps:spPr bwMode="auto">
                          <a:xfrm>
                            <a:off x="1123291" y="112080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FC4D31">
                              <w:pPr>
                                <w:widowControl w:val="0"/>
                                <w:jc w:val="center"/>
                                <w:rPr>
                                  <w:sz w:val="18"/>
                                  <w:szCs w:val="18"/>
                                </w:rPr>
                              </w:pPr>
                              <w:r>
                                <w:rPr>
                                  <w:color w:val="383F00"/>
                                  <w:sz w:val="18"/>
                                  <w:szCs w:val="18"/>
                                </w:rPr>
                                <w:t>2011</w:t>
                              </w:r>
                            </w:p>
                          </w:txbxContent>
                        </wps:txbx>
                        <wps:bodyPr rot="0" vert="horz" wrap="square" lIns="36576" tIns="36576" rIns="36576" bIns="36576" anchor="t" anchorCtr="0" upright="1">
                          <a:noAutofit/>
                        </wps:bodyPr>
                      </wps:wsp>
                      <wps:wsp>
                        <wps:cNvPr id="122" name="Text Box 94"/>
                        <wps:cNvSpPr txBox="1">
                          <a:spLocks noChangeArrowheads="1"/>
                        </wps:cNvSpPr>
                        <wps:spPr bwMode="auto">
                          <a:xfrm>
                            <a:off x="1127815" y="1120809"/>
                            <a:ext cx="3230"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FC4D31">
                              <w:pPr>
                                <w:widowControl w:val="0"/>
                                <w:jc w:val="center"/>
                                <w:rPr>
                                  <w:sz w:val="18"/>
                                  <w:szCs w:val="18"/>
                                </w:rPr>
                              </w:pPr>
                              <w:r>
                                <w:rPr>
                                  <w:color w:val="383F00"/>
                                  <w:sz w:val="18"/>
                                  <w:szCs w:val="18"/>
                                </w:rPr>
                                <w:t>2012</w:t>
                              </w:r>
                            </w:p>
                          </w:txbxContent>
                        </wps:txbx>
                        <wps:bodyPr rot="0" vert="horz" wrap="square" lIns="36576" tIns="36576" rIns="36576" bIns="36576" anchor="t" anchorCtr="0" upright="1">
                          <a:noAutofit/>
                        </wps:bodyPr>
                      </wps:wsp>
                    </wpg:wgp>
                  </a:graphicData>
                </a:graphic>
              </wp:inline>
            </w:drawing>
          </mc:Choice>
          <mc:Fallback>
            <w:pict>
              <v:group id="Group 88" o:spid="_x0000_s1077" style="width:321pt;height:136.55pt;mso-position-horizontal-relative:char;mso-position-vertical-relative:line" coordorigin="11025,11079" coordsize="333,1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78" type="#_x0000_t75" style="position:absolute;left:11025;top:11079;width:333;height: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GEXAAAAA3AAAAA8AAABkcnMvZG93bnJldi54bWxET8uqwjAQ3Qv+QxjhbkRTXVitRhH1guDK&#10;x8Ll0IxtsZmUJtbe+/VGENzN4TxnsWpNKRqqXWFZwWgYgSBOrS44U3A5/w6mIJxH1lhaJgV/5GC1&#10;7HYWmGj75CM1J5+JEMIuQQW591UipUtzMuiGtiIO3M3WBn2AdSZ1jc8Qbko5jqKJNFhwaMixok1O&#10;6f30MAr4epGzwxbxFjeV78e7KDv/35X66bXrOQhPrf+KP+69DvNHMbyfCRfI5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cYRcAAAADcAAAADwAAAAAAAAAAAAAAAACfAgAA&#10;ZHJzL2Rvd25yZXYueG1sUEsFBgAAAAAEAAQA9wAAAIwDAAAAAA==&#10;">
                  <v:imagedata r:id="rId18" o:title="" croptop="13043f" cropbottom="7774f" cropleft="795f" cropright="9121f"/>
                </v:shape>
                <v:shapetype id="_x0000_t202" coordsize="21600,21600" o:spt="202" path="m,l,21600r21600,l21600,xe">
                  <v:stroke joinstyle="miter"/>
                  <v:path gradientshapeok="t" o:connecttype="rect"/>
                </v:shapetype>
                <v:shape id="_x0000_s1079" type="#_x0000_t202" style="position:absolute;left:11094;top:11208;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p48QA&#10;AADcAAAADwAAAGRycy9kb3ducmV2LnhtbESPT2vCQBDF7wW/wzJCb3VjBSupq4gg9CD4F89jdpoE&#10;s7NhdzWpn75zKPQ2w3vz3m/my9416kEh1p4NjEcZKOLC25pLA+fT5m0GKiZki41nMvBDEZaLwcsc&#10;c+s7PtDjmEolIRxzNFCl1OZax6Iih3HkW2LRvn1wmGQNpbYBOwl3jX7Psql2WLM0VNjSuqLidrw7&#10;A5frx33fhcn+cHu208av4m6bojGvw371CSpRn/7Nf9dfVvDHQivPyAR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D6ePEAAAA3AAAAA8AAAAAAAAAAAAAAAAAmAIAAGRycy9k&#10;b3ducmV2LnhtbFBLBQYAAAAABAAEAPUAAACJAwAAAAA=&#10;" filled="f" stroked="f" strokecolor="black [0]" insetpen="t">
                  <v:textbox inset="2.88pt,2.88pt,2.88pt,2.88pt">
                    <w:txbxContent>
                      <w:p w:rsidR="00FC084B" w:rsidRDefault="00FC084B" w:rsidP="00FC4D31">
                        <w:pPr>
                          <w:widowControl w:val="0"/>
                          <w:jc w:val="center"/>
                          <w:rPr>
                            <w:color w:val="383F00"/>
                            <w:sz w:val="18"/>
                            <w:szCs w:val="18"/>
                          </w:rPr>
                        </w:pPr>
                        <w:r>
                          <w:rPr>
                            <w:color w:val="383F00"/>
                            <w:sz w:val="18"/>
                            <w:szCs w:val="18"/>
                          </w:rPr>
                          <w:t>2008</w:t>
                        </w:r>
                      </w:p>
                    </w:txbxContent>
                  </v:textbox>
                </v:shape>
                <v:shape id="Text Box 91" o:spid="_x0000_s1080" type="#_x0000_t202" style="position:absolute;left:11141;top:11208;width:3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9MeMMA&#10;AADcAAAADwAAAGRycy9kb3ducmV2LnhtbERPyWrDMBC9F/oPYgq9NXJScBI3SjCBQg+FbKXniTW1&#10;TayRkeSl+fqqEMhtHm+d1WY0jejJ+dqygukkAUFcWF1zqeDr9P6yAOEDssbGMin4JQ+b9ePDCjNt&#10;Bz5QfwyliCHsM1RQhdBmUvqiIoN+YlviyP1YZzBE6EqpHQ4x3DRyliSpNFhzbKiwpW1FxeXYGQXf&#10;53m3H9zr/nC5tmljc7/7DF6p56cxfwMRaAx38c39oeP86RL+n4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9MeMMAAADcAAAADwAAAAAAAAAAAAAAAACYAgAAZHJzL2Rv&#10;d25yZXYueG1sUEsFBgAAAAAEAAQA9QAAAIgDAAAAAA==&#10;" filled="f" stroked="f" strokecolor="black [0]" insetpen="t">
                  <v:textbox inset="2.88pt,2.88pt,2.88pt,2.88pt">
                    <w:txbxContent>
                      <w:p w:rsidR="00FC084B" w:rsidRDefault="00FC084B" w:rsidP="00FC4D31">
                        <w:pPr>
                          <w:widowControl w:val="0"/>
                          <w:jc w:val="center"/>
                          <w:rPr>
                            <w:sz w:val="18"/>
                            <w:szCs w:val="18"/>
                          </w:rPr>
                        </w:pPr>
                        <w:r>
                          <w:rPr>
                            <w:color w:val="383F00"/>
                            <w:sz w:val="18"/>
                            <w:szCs w:val="18"/>
                          </w:rPr>
                          <w:t>2009</w:t>
                        </w:r>
                      </w:p>
                    </w:txbxContent>
                  </v:textbox>
                </v:shape>
                <v:shape id="Text Box 92" o:spid="_x0000_s1081" type="#_x0000_t202" style="position:absolute;left:11187;top:11208;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vWMQA&#10;AADcAAAADwAAAGRycy9kb3ducmV2LnhtbESPT2vCQBDF7wW/wzJCb3WjgpXUVUQo9CD4l56n2WkS&#10;zM6G3dWkfnrnIPQ2w3vz3m8Wq9416kYh1p4NjEcZKOLC25pLA+fT59scVEzIFhvPZOCPIqyWg5cF&#10;5tZ3fKDbMZVKQjjmaKBKqc21jkVFDuPIt8Si/frgMMkaSm0DdhLuGj3Jspl2WLM0VNjSpqLicrw6&#10;A98/79d9F6b7w+Xezhq/jrttisa8Dvv1B6hEffo3P6+/rOBPBF+ekQn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ZL1jEAAAA3AAAAA8AAAAAAAAAAAAAAAAAmAIAAGRycy9k&#10;b3ducmV2LnhtbFBLBQYAAAAABAAEAPUAAACJAwAAAAA=&#10;" filled="f" stroked="f" strokecolor="black [0]" insetpen="t">
                  <v:textbox inset="2.88pt,2.88pt,2.88pt,2.88pt">
                    <w:txbxContent>
                      <w:p w:rsidR="00FC084B" w:rsidRDefault="00FC084B" w:rsidP="00FC4D31">
                        <w:pPr>
                          <w:widowControl w:val="0"/>
                          <w:jc w:val="center"/>
                          <w:rPr>
                            <w:sz w:val="18"/>
                            <w:szCs w:val="18"/>
                          </w:rPr>
                        </w:pPr>
                        <w:r>
                          <w:rPr>
                            <w:color w:val="383F00"/>
                            <w:sz w:val="18"/>
                            <w:szCs w:val="18"/>
                          </w:rPr>
                          <w:t>2010</w:t>
                        </w:r>
                      </w:p>
                    </w:txbxContent>
                  </v:textbox>
                </v:shape>
                <v:shape id="Text Box 93" o:spid="_x0000_s1082" type="#_x0000_t202" style="position:absolute;left:11232;top:11208;width:3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Kw8MA&#10;AADcAAAADwAAAGRycy9kb3ducmV2LnhtbERPyWrDMBC9B/oPYgq9xXJScItjOYRCIYdAs5Sep9bE&#10;NrFGRlJsN18fFQq9zeOtU6wn04mBnG8tK1gkKQjiyuqWawWfp/f5KwgfkDV2lknBD3lYlw+zAnNt&#10;Rz7QcAy1iCHsc1TQhNDnUvqqIYM+sT1x5M7WGQwRulpqh2MMN51cpmkmDbYcGxrs6a2h6nK8GgVf&#10;3y/X/eie94fLrc86u/Efu+CVenqcNisQgabwL/5zb3Wcv1zA7zPxAl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WKw8MAAADcAAAADwAAAAAAAAAAAAAAAACYAgAAZHJzL2Rv&#10;d25yZXYueG1sUEsFBgAAAAAEAAQA9QAAAIgDAAAAAA==&#10;" filled="f" stroked="f" strokecolor="black [0]" insetpen="t">
                  <v:textbox inset="2.88pt,2.88pt,2.88pt,2.88pt">
                    <w:txbxContent>
                      <w:p w:rsidR="00FC084B" w:rsidRDefault="00FC084B" w:rsidP="00FC4D31">
                        <w:pPr>
                          <w:widowControl w:val="0"/>
                          <w:jc w:val="center"/>
                          <w:rPr>
                            <w:sz w:val="18"/>
                            <w:szCs w:val="18"/>
                          </w:rPr>
                        </w:pPr>
                        <w:r>
                          <w:rPr>
                            <w:color w:val="383F00"/>
                            <w:sz w:val="18"/>
                            <w:szCs w:val="18"/>
                          </w:rPr>
                          <w:t>2011</w:t>
                        </w:r>
                      </w:p>
                    </w:txbxContent>
                  </v:textbox>
                </v:shape>
                <v:shape id="Text Box 94" o:spid="_x0000_s1083" type="#_x0000_t202" style="position:absolute;left:11278;top:11208;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cUtMMA&#10;AADcAAAADwAAAGRycy9kb3ducmV2LnhtbERPS2vCQBC+F/wPywje6qYRUkldRQShh4LRFs/T7DQJ&#10;ZmfD7uZhf323UOhtPr7nbHaTacVAzjeWFTwtExDEpdUNVwo+3o+PaxA+IGtsLZOCO3nYbWcPG8y1&#10;HflMwyVUIoawz1FBHUKXS+nLmgz6pe2II/dlncEQoaukdjjGcNPKNEkyabDh2FBjR4eaytulNwqu&#10;n899MbpVcb59d1lr9/70FrxSi/m0fwERaAr/4j/3q47z0xR+n4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cUtMMAAADcAAAADwAAAAAAAAAAAAAAAACYAgAAZHJzL2Rv&#10;d25yZXYueG1sUEsFBgAAAAAEAAQA9QAAAIgDAAAAAA==&#10;" filled="f" stroked="f" strokecolor="black [0]" insetpen="t">
                  <v:textbox inset="2.88pt,2.88pt,2.88pt,2.88pt">
                    <w:txbxContent>
                      <w:p w:rsidR="00FC084B" w:rsidRDefault="00FC084B" w:rsidP="00FC4D31">
                        <w:pPr>
                          <w:widowControl w:val="0"/>
                          <w:jc w:val="center"/>
                          <w:rPr>
                            <w:sz w:val="18"/>
                            <w:szCs w:val="18"/>
                          </w:rPr>
                        </w:pPr>
                        <w:r>
                          <w:rPr>
                            <w:color w:val="383F00"/>
                            <w:sz w:val="18"/>
                            <w:szCs w:val="18"/>
                          </w:rPr>
                          <w:t>2012</w:t>
                        </w:r>
                      </w:p>
                    </w:txbxContent>
                  </v:textbox>
                </v:shape>
                <w10:anchorlock/>
              </v:group>
            </w:pict>
          </mc:Fallback>
        </mc:AlternateContent>
      </w:r>
    </w:p>
    <w:p w:rsidR="00415F43" w:rsidRPr="00415F43" w:rsidRDefault="00415F43" w:rsidP="00415F43">
      <w:pPr>
        <w:pStyle w:val="naisc"/>
        <w:widowControl w:val="0"/>
        <w:tabs>
          <w:tab w:val="left" w:pos="-31680"/>
        </w:tabs>
        <w:spacing w:before="120"/>
        <w:jc w:val="both"/>
        <w:rPr>
          <w:rFonts w:asciiTheme="minorHAnsi" w:hAnsiTheme="minorHAnsi"/>
        </w:rPr>
      </w:pPr>
      <w:r w:rsidRPr="00415F43">
        <w:rPr>
          <w:rFonts w:asciiTheme="minorHAnsi" w:hAnsiTheme="minorHAnsi"/>
        </w:rPr>
        <w:t>Skatoties pēc AAL lietošanas kategorijām, AAL gala lietotāji visvairāk, kā katru gadu, iegādājušies herbicīdus, pēc tam fungicīdus un insekticīdus/akaricīdus. Gala lietotājiem izplatīto AAL daudzums ir audzis proporcionāli gandrīz visās AAL lietošanas kategorijās. 2012.gadā gadā iespējams vairāk</w:t>
      </w:r>
      <w:r w:rsidR="00CC371C" w:rsidRPr="00415F43">
        <w:rPr>
          <w:rFonts w:asciiTheme="minorHAnsi" w:hAnsiTheme="minorHAnsi"/>
        </w:rPr>
        <w:t xml:space="preserve"> </w:t>
      </w:r>
      <w:r w:rsidRPr="00415F43">
        <w:rPr>
          <w:rFonts w:asciiTheme="minorHAnsi" w:hAnsiTheme="minorHAnsi"/>
        </w:rPr>
        <w:t xml:space="preserve">fungicīdu bijā jālieto graudzāļu miltrasas, dažādu rūsu ierobežošanai graudaugos un insekticīdus krustziežu </w:t>
      </w:r>
      <w:proofErr w:type="spellStart"/>
      <w:r w:rsidRPr="00415F43">
        <w:rPr>
          <w:rFonts w:asciiTheme="minorHAnsi" w:hAnsiTheme="minorHAnsi"/>
        </w:rPr>
        <w:t>spīduļa</w:t>
      </w:r>
      <w:proofErr w:type="spellEnd"/>
      <w:r w:rsidRPr="00415F43">
        <w:rPr>
          <w:rFonts w:asciiTheme="minorHAnsi" w:hAnsiTheme="minorHAnsi"/>
        </w:rPr>
        <w:t xml:space="preserve"> ierobežošanai ziemas un vasaras</w:t>
      </w:r>
      <w:proofErr w:type="gramStart"/>
      <w:r w:rsidRPr="00415F43">
        <w:rPr>
          <w:rFonts w:asciiTheme="minorHAnsi" w:hAnsiTheme="minorHAnsi"/>
        </w:rPr>
        <w:t xml:space="preserve">  </w:t>
      </w:r>
      <w:proofErr w:type="gramEnd"/>
      <w:r w:rsidRPr="00415F43">
        <w:rPr>
          <w:rFonts w:asciiTheme="minorHAnsi" w:hAnsiTheme="minorHAnsi"/>
        </w:rPr>
        <w:t>rapša sējumos, kā arī laputu ierobežošanai graudaugos (sk. 4.3.attēlu).</w:t>
      </w:r>
    </w:p>
    <w:p w:rsidR="00CC371C" w:rsidRDefault="00CC371C" w:rsidP="00FC4D31">
      <w:pPr>
        <w:widowControl w:val="0"/>
        <w:jc w:val="both"/>
        <w:rPr>
          <w:i/>
          <w:iCs/>
          <w:color w:val="555F00"/>
          <w:sz w:val="16"/>
          <w:szCs w:val="16"/>
        </w:rPr>
      </w:pPr>
    </w:p>
    <w:p w:rsidR="00CC371C" w:rsidRDefault="00CC371C" w:rsidP="00CC371C">
      <w:pPr>
        <w:pStyle w:val="grafikiem"/>
      </w:pPr>
      <w:r>
        <w:t>2012.gadā Latvijā gala lietotājiem izplatīto AAL līdzekļu apjomi pa lietošanas kategorijām, tonnas (fiziskajā svarā) (4.3.)</w:t>
      </w:r>
    </w:p>
    <w:p w:rsidR="00CC371C" w:rsidRDefault="00CC371C" w:rsidP="00CC371C">
      <w:pPr>
        <w:widowControl w:val="0"/>
        <w:rPr>
          <w:i/>
          <w:iCs/>
          <w:color w:val="555F00"/>
          <w:sz w:val="16"/>
          <w:szCs w:val="16"/>
        </w:rPr>
      </w:pPr>
      <w:r>
        <w:rPr>
          <w:noProof/>
        </w:rPr>
        <w:drawing>
          <wp:inline distT="0" distB="0" distL="0" distR="0" wp14:anchorId="62483213" wp14:editId="06B5E237">
            <wp:extent cx="526542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3578" t="17392" r="1345" b="8148"/>
                    <a:stretch/>
                  </pic:blipFill>
                  <pic:spPr bwMode="auto">
                    <a:xfrm>
                      <a:off x="0" y="0"/>
                      <a:ext cx="5265420" cy="2019300"/>
                    </a:xfrm>
                    <a:prstGeom prst="rect">
                      <a:avLst/>
                    </a:prstGeom>
                    <a:noFill/>
                    <a:ln>
                      <a:noFill/>
                    </a:ln>
                    <a:extLst>
                      <a:ext uri="{53640926-AAD7-44D8-BBD7-CCE9431645EC}">
                        <a14:shadowObscured xmlns:a14="http://schemas.microsoft.com/office/drawing/2010/main"/>
                      </a:ext>
                    </a:extLst>
                  </pic:spPr>
                </pic:pic>
              </a:graphicData>
            </a:graphic>
          </wp:inline>
        </w:drawing>
      </w:r>
    </w:p>
    <w:p w:rsidR="00FC4D31" w:rsidRDefault="00FC4D31" w:rsidP="00FC4D31">
      <w:pPr>
        <w:widowControl w:val="0"/>
        <w:jc w:val="both"/>
        <w:rPr>
          <w:i/>
          <w:iCs/>
          <w:color w:val="555F00"/>
          <w:sz w:val="16"/>
          <w:szCs w:val="16"/>
        </w:rPr>
      </w:pPr>
    </w:p>
    <w:p w:rsidR="00CC371C" w:rsidRDefault="00CC371C" w:rsidP="00CC371C"/>
    <w:p w:rsidR="00CC371C" w:rsidRPr="00415F43" w:rsidRDefault="00CC371C" w:rsidP="00CC371C">
      <w:pPr>
        <w:widowControl w:val="0"/>
        <w:rPr>
          <w:rFonts w:asciiTheme="minorHAnsi" w:hAnsiTheme="minorHAnsi"/>
        </w:rPr>
      </w:pPr>
      <w:r w:rsidRPr="00415F43">
        <w:rPr>
          <w:rFonts w:asciiTheme="minorHAnsi" w:hAnsiTheme="minorHAnsi"/>
        </w:rPr>
        <w:t xml:space="preserve">VAAD nodrošina speciālu atļauju (licenču) izsniegšu komersantiem, kas vēlas izplatīt AAL. </w:t>
      </w:r>
    </w:p>
    <w:p w:rsidR="00CC371C" w:rsidRDefault="00CC371C" w:rsidP="00CC371C">
      <w:pPr>
        <w:widowControl w:val="0"/>
        <w:jc w:val="both"/>
        <w:rPr>
          <w:i/>
          <w:iCs/>
          <w:color w:val="555F00"/>
          <w:sz w:val="16"/>
          <w:szCs w:val="16"/>
        </w:rPr>
      </w:pPr>
      <w:r w:rsidRPr="00415F43">
        <w:rPr>
          <w:rFonts w:asciiTheme="minorHAnsi" w:hAnsiTheme="minorHAnsi"/>
        </w:rPr>
        <w:t xml:space="preserve">2012.gadā bija 302 AAL izplatīšanas vietas, kurām ir speciāla atļauja (licence), kas dod tiesības </w:t>
      </w:r>
      <w:r w:rsidRPr="00415F43">
        <w:rPr>
          <w:rFonts w:asciiTheme="minorHAnsi" w:hAnsiTheme="minorHAnsi"/>
        </w:rPr>
        <w:lastRenderedPageBreak/>
        <w:t>izplatīt AAL. Šo vietu skaits, salīdzinājumā ar iepriekšējiem gadiem, nav būtiski mainījies. Šajās vietās, kas saņēmušas speciālu atļauju (licenci) AAL izplatīšanai, VAAD veic AAL izplatīšanas prasību ievērošanas pārbaudes.</w:t>
      </w:r>
      <w:r w:rsidRPr="00FC4D31">
        <w:rPr>
          <w:i/>
          <w:iCs/>
          <w:color w:val="555F00"/>
          <w:sz w:val="16"/>
          <w:szCs w:val="16"/>
        </w:rPr>
        <w:t xml:space="preserve"> </w:t>
      </w:r>
    </w:p>
    <w:p w:rsidR="00CC371C" w:rsidRPr="00615043" w:rsidRDefault="00CC371C" w:rsidP="00CC371C">
      <w:pPr>
        <w:pStyle w:val="grafikiem"/>
        <w:rPr>
          <w:sz w:val="4"/>
          <w:szCs w:val="4"/>
        </w:rPr>
      </w:pPr>
    </w:p>
    <w:p w:rsidR="00FC4D31" w:rsidRDefault="00FC4D31" w:rsidP="00CC371C">
      <w:pPr>
        <w:pStyle w:val="grafikiem"/>
      </w:pPr>
      <w:r>
        <w:t>2008. - 2012.gadā Latvijā licencēto AAL izplatīšanas vietu skaits (4.4.)</w:t>
      </w:r>
    </w:p>
    <w:p w:rsidR="00415F43" w:rsidRPr="00415F43" w:rsidRDefault="00FC4D31" w:rsidP="00415F43">
      <w:pPr>
        <w:widowControl w:val="0"/>
        <w:spacing w:before="120"/>
        <w:jc w:val="both"/>
        <w:rPr>
          <w:rFonts w:asciiTheme="minorHAnsi" w:hAnsiTheme="minorHAnsi"/>
        </w:rPr>
      </w:pPr>
      <w:r>
        <w:rPr>
          <w:rFonts w:asciiTheme="minorHAnsi" w:hAnsiTheme="minorHAnsi"/>
          <w:noProof/>
        </w:rPr>
        <mc:AlternateContent>
          <mc:Choice Requires="wpg">
            <w:drawing>
              <wp:inline distT="0" distB="0" distL="0" distR="0" wp14:anchorId="0AB40D42" wp14:editId="386D5613">
                <wp:extent cx="3930650" cy="217614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650" cy="2176145"/>
                          <a:chOff x="1068672" y="1098553"/>
                          <a:chExt cx="32042" cy="19120"/>
                        </a:xfrm>
                      </wpg:grpSpPr>
                      <pic:pic xmlns:pic="http://schemas.openxmlformats.org/drawingml/2006/picture">
                        <pic:nvPicPr>
                          <pic:cNvPr id="124" name="Picture 97"/>
                          <pic:cNvPicPr>
                            <a:picLocks noChangeAspect="1" noChangeArrowheads="1"/>
                          </pic:cNvPicPr>
                        </pic:nvPicPr>
                        <pic:blipFill>
                          <a:blip r:embed="rId20">
                            <a:extLst>
                              <a:ext uri="{28A0092B-C50C-407E-A947-70E740481C1C}">
                                <a14:useLocalDpi xmlns:a14="http://schemas.microsoft.com/office/drawing/2010/main" val="0"/>
                              </a:ext>
                            </a:extLst>
                          </a:blip>
                          <a:srcRect l="1309" t="4179" r="11061" b="3343"/>
                          <a:stretch>
                            <a:fillRect/>
                          </a:stretch>
                        </pic:blipFill>
                        <pic:spPr bwMode="auto">
                          <a:xfrm>
                            <a:off x="1068672" y="1098553"/>
                            <a:ext cx="32043" cy="17663"/>
                          </a:xfrm>
                          <a:prstGeom prst="rect">
                            <a:avLst/>
                          </a:prstGeom>
                          <a:noFill/>
                          <a:extLst>
                            <a:ext uri="{909E8E84-426E-40DD-AFC4-6F175D3DCCD1}">
                              <a14:hiddenFill xmlns:a14="http://schemas.microsoft.com/office/drawing/2010/main">
                                <a:solidFill>
                                  <a:srgbClr val="FFFFFF"/>
                                </a:solidFill>
                              </a14:hiddenFill>
                            </a:ext>
                          </a:extLst>
                        </pic:spPr>
                      </pic:pic>
                      <wps:wsp>
                        <wps:cNvPr id="125" name="Text Box 98"/>
                        <wps:cNvSpPr txBox="1">
                          <a:spLocks noChangeArrowheads="1"/>
                        </wps:cNvSpPr>
                        <wps:spPr bwMode="auto">
                          <a:xfrm>
                            <a:off x="1075571" y="1115567"/>
                            <a:ext cx="3229" cy="21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color w:val="383F00"/>
                                  <w:sz w:val="18"/>
                                  <w:szCs w:val="18"/>
                                </w:rPr>
                              </w:pPr>
                              <w:r>
                                <w:rPr>
                                  <w:color w:val="383F00"/>
                                  <w:sz w:val="18"/>
                                  <w:szCs w:val="18"/>
                                </w:rPr>
                                <w:t>2008</w:t>
                              </w:r>
                            </w:p>
                          </w:txbxContent>
                        </wps:txbx>
                        <wps:bodyPr rot="0" vert="horz" wrap="square" lIns="36576" tIns="36576" rIns="36576" bIns="36576" anchor="t" anchorCtr="0" upright="1">
                          <a:noAutofit/>
                        </wps:bodyPr>
                      </wps:wsp>
                      <wps:wsp>
                        <wps:cNvPr id="126" name="Text Box 99"/>
                        <wps:cNvSpPr txBox="1">
                          <a:spLocks noChangeArrowheads="1"/>
                        </wps:cNvSpPr>
                        <wps:spPr bwMode="auto">
                          <a:xfrm>
                            <a:off x="1080333" y="1115567"/>
                            <a:ext cx="3229" cy="21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2009</w:t>
                              </w:r>
                            </w:p>
                          </w:txbxContent>
                        </wps:txbx>
                        <wps:bodyPr rot="0" vert="horz" wrap="square" lIns="36576" tIns="36576" rIns="36576" bIns="36576" anchor="t" anchorCtr="0" upright="1">
                          <a:noAutofit/>
                        </wps:bodyPr>
                      </wps:wsp>
                      <wps:wsp>
                        <wps:cNvPr id="127" name="Text Box 100"/>
                        <wps:cNvSpPr txBox="1">
                          <a:spLocks noChangeArrowheads="1"/>
                        </wps:cNvSpPr>
                        <wps:spPr bwMode="auto">
                          <a:xfrm>
                            <a:off x="1084857" y="1115567"/>
                            <a:ext cx="3230" cy="21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2010</w:t>
                              </w:r>
                            </w:p>
                          </w:txbxContent>
                        </wps:txbx>
                        <wps:bodyPr rot="0" vert="horz" wrap="square" lIns="36576" tIns="36576" rIns="36576" bIns="36576" anchor="t" anchorCtr="0" upright="1">
                          <a:noAutofit/>
                        </wps:bodyPr>
                      </wps:wsp>
                      <wps:wsp>
                        <wps:cNvPr id="128" name="Text Box 101"/>
                        <wps:cNvSpPr txBox="1">
                          <a:spLocks noChangeArrowheads="1"/>
                        </wps:cNvSpPr>
                        <wps:spPr bwMode="auto">
                          <a:xfrm>
                            <a:off x="1089429" y="1115567"/>
                            <a:ext cx="3230" cy="21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2011</w:t>
                              </w:r>
                            </w:p>
                          </w:txbxContent>
                        </wps:txbx>
                        <wps:bodyPr rot="0" vert="horz" wrap="square" lIns="36576" tIns="36576" rIns="36576" bIns="36576" anchor="t" anchorCtr="0" upright="1">
                          <a:noAutofit/>
                        </wps:bodyPr>
                      </wps:wsp>
                      <wps:wsp>
                        <wps:cNvPr id="129" name="Text Box 102"/>
                        <wps:cNvSpPr txBox="1">
                          <a:spLocks noChangeArrowheads="1"/>
                        </wps:cNvSpPr>
                        <wps:spPr bwMode="auto">
                          <a:xfrm>
                            <a:off x="1093954" y="1115567"/>
                            <a:ext cx="3229" cy="21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2012</w:t>
                              </w:r>
                            </w:p>
                          </w:txbxContent>
                        </wps:txbx>
                        <wps:bodyPr rot="0" vert="horz" wrap="square" lIns="36576" tIns="36576" rIns="36576" bIns="36576" anchor="t" anchorCtr="0" upright="1">
                          <a:noAutofit/>
                        </wps:bodyPr>
                      </wps:wsp>
                    </wpg:wgp>
                  </a:graphicData>
                </a:graphic>
              </wp:inline>
            </w:drawing>
          </mc:Choice>
          <mc:Fallback>
            <w:pict>
              <v:group id="Group 123" o:spid="_x0000_s1084" style="width:309.5pt;height:171.35pt;mso-position-horizontal-relative:char;mso-position-vertical-relative:line" coordorigin="10686,10985" coordsize="320,1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">
                <v:shape id="Picture 97" o:spid="_x0000_s1085" type="#_x0000_t75" style="position:absolute;left:10686;top:10985;width:321;height: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dGGvBAAAA3AAAAA8AAABkcnMvZG93bnJldi54bWxET02LwjAQvS/4H8II3tZUcXelGqUKoidh&#10;64LXoRnb0mZSkqj1328Ewds83ucs171pxY2cry0rmIwTEMSF1TWXCv5Ou885CB+QNbaWScGDPKxX&#10;g48lptre+ZdueShFDGGfooIqhC6V0hcVGfRj2xFH7mKdwRChK6V2eI/hppXTJPmWBmuODRV2tK2o&#10;aPKrUbA5ZonLs/Ppq7keJs0+kz/7XCo1GvbZAkSgPrzFL/dBx/nTGTyfiR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dGGvBAAAA3AAAAA8AAAAAAAAAAAAAAAAAnwIA&#10;AGRycy9kb3ducmV2LnhtbFBLBQYAAAAABAAEAPcAAACNAwAAAAA=&#10;">
                  <v:imagedata r:id="rId21" o:title="" croptop="2739f" cropbottom="2191f" cropleft="858f" cropright="7249f"/>
                </v:shape>
                <v:shape id="Text Box 98" o:spid="_x0000_s1086" type="#_x0000_t202" style="position:absolute;left:10755;top:11155;width:3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MwMMA&#10;AADcAAAADwAAAGRycy9kb3ducmV2LnhtbERPTWvCQBC9F/wPywje6kalUVJXEaHQQ6Exlp7H7DQJ&#10;ZmfD7pqk/fXdQsHbPN7nbPejaUVPzjeWFSzmCQji0uqGKwUf55fHDQgfkDW2lknBN3nY7yYPW8y0&#10;HfhEfREqEUPYZ6igDqHLpPRlTQb93HbEkfuyzmCI0FVSOxxiuGnlMklSabDh2FBjR8eaymtxMwo+&#10;L+tbPrhVfrr+dGlrD/79LXilZtPx8Awi0Bju4n/3q47zl0/w90y8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6MwMMAAADcAAAADwAAAAAAAAAAAAAAAACYAgAAZHJzL2Rv&#10;d25yZXYueG1sUEsFBgAAAAAEAAQA9QAAAIgDAAAAAA==&#10;" filled="f" stroked="f" strokecolor="black [0]" insetpen="t">
                  <v:textbox inset="2.88pt,2.88pt,2.88pt,2.88pt">
                    <w:txbxContent>
                      <w:p w:rsidR="00FC084B" w:rsidRDefault="00FC084B" w:rsidP="00415F43">
                        <w:pPr>
                          <w:widowControl w:val="0"/>
                          <w:jc w:val="center"/>
                          <w:rPr>
                            <w:color w:val="383F00"/>
                            <w:sz w:val="18"/>
                            <w:szCs w:val="18"/>
                          </w:rPr>
                        </w:pPr>
                        <w:r>
                          <w:rPr>
                            <w:color w:val="383F00"/>
                            <w:sz w:val="18"/>
                            <w:szCs w:val="18"/>
                          </w:rPr>
                          <w:t>2008</w:t>
                        </w:r>
                      </w:p>
                    </w:txbxContent>
                  </v:textbox>
                </v:shape>
                <v:shape id="Text Box 99" o:spid="_x0000_s1087" type="#_x0000_t202" style="position:absolute;left:10803;top:11155;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St8EA&#10;AADcAAAADwAAAGRycy9kb3ducmV2LnhtbERPS4vCMBC+C/sfwizsTVNdqEs1iiwseBB8suexGdti&#10;MylJtNVfbwTB23x8z5nOO1OLKzlfWVYwHCQgiHOrKy4UHPZ//R8QPiBrrC2Tght5mM8+elPMtG15&#10;S9ddKEQMYZ+hgjKEJpPS5yUZ9APbEEfuZJ3BEKErpHbYxnBTy1GSpNJgxbGhxIZ+S8rPu4tR8H8c&#10;Xzat+95sz/cmre3Cr1fBK/X12S0mIAJ14S1+uZc6zh+l8HwmXi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8ErfBAAAA3AAAAA8AAAAAAAAAAAAAAAAAmAIAAGRycy9kb3du&#10;cmV2LnhtbFBLBQYAAAAABAAEAPUAAACGAw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2009</w:t>
                        </w:r>
                      </w:p>
                    </w:txbxContent>
                  </v:textbox>
                </v:shape>
                <v:shape id="Text Box 100" o:spid="_x0000_s1088" type="#_x0000_t202" style="position:absolute;left:10848;top:11155;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LMAA&#10;AADcAAAADwAAAGRycy9kb3ducmV2LnhtbERPS4vCMBC+L/gfwgje1lQXVKpRRFjYw4JPPI/N2Bab&#10;SUmirf56Iwje5uN7zmzRmkrcyPnSsoJBPwFBnFldcq7gsP/9noDwAVljZZkU3MnDYt75mmGqbcNb&#10;uu1CLmII+xQVFCHUqZQ+K8ig79uaOHJn6wyGCF0utcMmhptKDpNkJA2WHBsKrGlVUHbZXY2C42l8&#10;3TTuZ7O9POpRZZd+/R+8Ur1uu5yCCNSGj/jt/tNx/nAMr2fiB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3LMAAAADcAAAADwAAAAAAAAAAAAAAAACYAgAAZHJzL2Rvd25y&#10;ZXYueG1sUEsFBgAAAAAEAAQA9QAAAIUDA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2010</w:t>
                        </w:r>
                      </w:p>
                    </w:txbxContent>
                  </v:textbox>
                </v:shape>
                <v:shape id="Text Box 101" o:spid="_x0000_s1089" type="#_x0000_t202" style="position:absolute;left:10894;top:11155;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jXsQA&#10;AADcAAAADwAAAGRycy9kb3ducmV2LnhtbESPT2vCQBDF7wW/wzJCb3WjgpXUVUQo9CD4l56n2WkS&#10;zM6G3dWkfnrnIPQ2w3vz3m8Wq9416kYh1p4NjEcZKOLC25pLA+fT59scVEzIFhvPZOCPIqyWg5cF&#10;5tZ3fKDbMZVKQjjmaKBKqc21jkVFDuPIt8Si/frgMMkaSm0DdhLuGj3Jspl2WLM0VNjSpqLicrw6&#10;A98/79d9F6b7w+Xezhq/jrttisa8Dvv1B6hEffo3P6+/rOBPhFaekQn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vI17EAAAA3AAAAA8AAAAAAAAAAAAAAAAAmAIAAGRycy9k&#10;b3ducmV2LnhtbFBLBQYAAAAABAAEAPUAAACJAw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2011</w:t>
                        </w:r>
                      </w:p>
                    </w:txbxContent>
                  </v:textbox>
                </v:shape>
                <v:shape id="Text Box 102" o:spid="_x0000_s1090" type="#_x0000_t202" style="position:absolute;left:10939;top:11155;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GxcMA&#10;AADcAAAADwAAAGRycy9kb3ducmV2LnhtbERPTWvCQBC9F/wPywje6kaFVFNXEaHQQ6Exlp7H7DQJ&#10;ZmfD7pqk/fXdQsHbPN7nbPejaUVPzjeWFSzmCQji0uqGKwUf55fHNQgfkDW2lknBN3nY7yYPW8y0&#10;HfhEfREqEUPYZ6igDqHLpPRlTQb93HbEkfuyzmCI0FVSOxxiuGnlMklSabDh2FBjR8eaymtxMwo+&#10;L0+3fHCr/HT96dLWHvz7W/BKzabj4RlEoDHcxf/uVx3nLzfw90y8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OGxcMAAADcAAAADwAAAAAAAAAAAAAAAACYAgAAZHJzL2Rv&#10;d25yZXYueG1sUEsFBgAAAAAEAAQA9QAAAIgDA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2012</w:t>
                        </w:r>
                      </w:p>
                    </w:txbxContent>
                  </v:textbox>
                </v:shape>
                <w10:anchorlock/>
              </v:group>
            </w:pict>
          </mc:Fallback>
        </mc:AlternateContent>
      </w:r>
    </w:p>
    <w:p w:rsidR="00415F43" w:rsidRPr="00415F43" w:rsidRDefault="00415F43" w:rsidP="00415F43">
      <w:pPr>
        <w:widowControl w:val="0"/>
        <w:spacing w:before="120"/>
        <w:jc w:val="both"/>
        <w:rPr>
          <w:rFonts w:asciiTheme="minorHAnsi" w:hAnsiTheme="minorHAnsi"/>
          <w:sz w:val="2"/>
          <w:szCs w:val="2"/>
        </w:rPr>
      </w:pPr>
      <w:r w:rsidRPr="00415F43">
        <w:rPr>
          <w:rFonts w:asciiTheme="minorHAnsi" w:hAnsiTheme="minorHAnsi"/>
          <w:sz w:val="2"/>
          <w:szCs w:val="2"/>
        </w:rPr>
        <w:t> </w:t>
      </w:r>
    </w:p>
    <w:p w:rsidR="00CC371C" w:rsidRDefault="00415F43" w:rsidP="00CC371C">
      <w:pPr>
        <w:widowControl w:val="0"/>
        <w:jc w:val="both"/>
        <w:rPr>
          <w:rFonts w:asciiTheme="minorHAnsi" w:hAnsiTheme="minorHAnsi"/>
        </w:rPr>
      </w:pPr>
      <w:r w:rsidRPr="00415F43">
        <w:rPr>
          <w:rFonts w:asciiTheme="minorHAnsi" w:hAnsiTheme="minorHAnsi"/>
        </w:rPr>
        <w:t xml:space="preserve">AAL izplatīšanas vietas, kas ir saņēmušas speciālu atļauju (licenci) nodrošina šajās vietās pārdevēju – konsultantu, kas informē par darba drošību darbā ar AAL. VAAD nodrošina eksāmenu pieņemšanu un apliecību izsniegšanu. </w:t>
      </w:r>
    </w:p>
    <w:p w:rsidR="00CC371C" w:rsidRDefault="00CC371C" w:rsidP="00CC371C">
      <w:pPr>
        <w:pStyle w:val="grafikiem"/>
      </w:pPr>
      <w:r>
        <w:t>2008. - 2012.gadā apmācītie augu aizsardzības konsultanti (4.5.)</w:t>
      </w:r>
    </w:p>
    <w:p w:rsidR="00CC371C" w:rsidRDefault="00415F43" w:rsidP="00415F43">
      <w:pPr>
        <w:widowControl w:val="0"/>
        <w:spacing w:before="120"/>
        <w:jc w:val="both"/>
        <w:rPr>
          <w:rFonts w:asciiTheme="minorHAnsi" w:hAnsiTheme="minorHAnsi"/>
        </w:rPr>
      </w:pPr>
      <w:r>
        <w:rPr>
          <w:noProof/>
        </w:rPr>
        <w:drawing>
          <wp:inline distT="0" distB="0" distL="0" distR="0" wp14:anchorId="558BDA1D" wp14:editId="713B61C0">
            <wp:extent cx="3113405" cy="19634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 cstate="print">
                      <a:extLst>
                        <a:ext uri="{28A0092B-C50C-407E-A947-70E740481C1C}">
                          <a14:useLocalDpi xmlns:a14="http://schemas.microsoft.com/office/drawing/2010/main" val="0"/>
                        </a:ext>
                      </a:extLst>
                    </a:blip>
                    <a:srcRect l="2121" t="4636" r="10376" b="5011"/>
                    <a:stretch>
                      <a:fillRect/>
                    </a:stretch>
                  </pic:blipFill>
                  <pic:spPr bwMode="auto">
                    <a:xfrm>
                      <a:off x="0" y="0"/>
                      <a:ext cx="3113405" cy="1963420"/>
                    </a:xfrm>
                    <a:prstGeom prst="rect">
                      <a:avLst/>
                    </a:prstGeom>
                    <a:noFill/>
                  </pic:spPr>
                </pic:pic>
              </a:graphicData>
            </a:graphic>
          </wp:inline>
        </w:drawing>
      </w:r>
    </w:p>
    <w:p w:rsidR="00415F43" w:rsidRPr="00415F43" w:rsidRDefault="00415F43" w:rsidP="00415F43">
      <w:pPr>
        <w:widowControl w:val="0"/>
        <w:spacing w:before="120"/>
        <w:jc w:val="both"/>
        <w:rPr>
          <w:rFonts w:asciiTheme="minorHAnsi" w:hAnsiTheme="minorHAnsi"/>
        </w:rPr>
      </w:pPr>
      <w:proofErr w:type="gramStart"/>
      <w:r w:rsidRPr="00415F43">
        <w:rPr>
          <w:rFonts w:asciiTheme="minorHAnsi" w:hAnsiTheme="minorHAnsi"/>
        </w:rPr>
        <w:t>Saskaņā ar likumdošanu,</w:t>
      </w:r>
      <w:proofErr w:type="gramEnd"/>
      <w:r w:rsidRPr="00415F43">
        <w:rPr>
          <w:rFonts w:asciiTheme="minorHAnsi" w:hAnsiTheme="minorHAnsi"/>
        </w:rPr>
        <w:t xml:space="preserve"> lai personas varētu iegādāties un lietot AAL, tām ir jābūt apmācītām un atestētām saskaņā ar VAAD izstrādātu un apstiprinātu mācību programmu „Par minimālo zināšanu apguvi augu aizsardzībā”. 2012.gada laikā apmācītas un attestētas 1904 personas.</w:t>
      </w:r>
    </w:p>
    <w:p w:rsidR="00CC371C" w:rsidRDefault="007D1896" w:rsidP="00CC371C">
      <w:pPr>
        <w:widowControl w:val="0"/>
        <w:jc w:val="both"/>
        <w:rPr>
          <w:i/>
          <w:iCs/>
          <w:color w:val="555F00"/>
          <w:sz w:val="16"/>
          <w:szCs w:val="16"/>
        </w:rPr>
      </w:pPr>
      <w:r>
        <w:rPr>
          <w:noProof/>
        </w:rPr>
        <mc:AlternateContent>
          <mc:Choice Requires="wpg">
            <w:drawing>
              <wp:anchor distT="0" distB="0" distL="114300" distR="114300" simplePos="0" relativeHeight="251694080" behindDoc="0" locked="0" layoutInCell="1" allowOverlap="1" wp14:anchorId="0E21ED14" wp14:editId="4690C227">
                <wp:simplePos x="0" y="0"/>
                <wp:positionH relativeFrom="column">
                  <wp:posOffset>14605</wp:posOffset>
                </wp:positionH>
                <wp:positionV relativeFrom="paragraph">
                  <wp:posOffset>1333500</wp:posOffset>
                </wp:positionV>
                <wp:extent cx="3255645" cy="2012950"/>
                <wp:effectExtent l="0" t="0" r="1905" b="635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645" cy="2012950"/>
                          <a:chOff x="1102513" y="1106734"/>
                          <a:chExt cx="32559" cy="20130"/>
                        </a:xfrm>
                      </wpg:grpSpPr>
                      <pic:pic xmlns:pic="http://schemas.openxmlformats.org/drawingml/2006/picture">
                        <pic:nvPicPr>
                          <pic:cNvPr id="135" name="Picture 107"/>
                          <pic:cNvPicPr>
                            <a:picLocks noChangeAspect="1" noChangeArrowheads="1"/>
                          </pic:cNvPicPr>
                        </pic:nvPicPr>
                        <pic:blipFill>
                          <a:blip r:embed="rId23">
                            <a:extLst>
                              <a:ext uri="{28A0092B-C50C-407E-A947-70E740481C1C}">
                                <a14:useLocalDpi xmlns:a14="http://schemas.microsoft.com/office/drawing/2010/main" val="0"/>
                              </a:ext>
                            </a:extLst>
                          </a:blip>
                          <a:srcRect l="1546" t="5048" r="10910" b="3093"/>
                          <a:stretch>
                            <a:fillRect/>
                          </a:stretch>
                        </pic:blipFill>
                        <pic:spPr bwMode="auto">
                          <a:xfrm>
                            <a:off x="1102513" y="1106734"/>
                            <a:ext cx="32559" cy="18021"/>
                          </a:xfrm>
                          <a:prstGeom prst="rect">
                            <a:avLst/>
                          </a:prstGeom>
                          <a:noFill/>
                          <a:extLst>
                            <a:ext uri="{909E8E84-426E-40DD-AFC4-6F175D3DCCD1}">
                              <a14:hiddenFill xmlns:a14="http://schemas.microsoft.com/office/drawing/2010/main">
                                <a:solidFill>
                                  <a:srgbClr val="FFFFFF"/>
                                </a:solidFill>
                              </a14:hiddenFill>
                            </a:ext>
                          </a:extLst>
                        </pic:spPr>
                      </pic:pic>
                      <wps:wsp>
                        <wps:cNvPr id="136" name="Text Box 108"/>
                        <wps:cNvSpPr txBox="1">
                          <a:spLocks noChangeArrowheads="1"/>
                        </wps:cNvSpPr>
                        <wps:spPr bwMode="auto">
                          <a:xfrm>
                            <a:off x="1110337" y="112475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color w:val="383F00"/>
                                  <w:sz w:val="18"/>
                                  <w:szCs w:val="18"/>
                                </w:rPr>
                              </w:pPr>
                              <w:r>
                                <w:rPr>
                                  <w:color w:val="383F00"/>
                                  <w:sz w:val="18"/>
                                  <w:szCs w:val="18"/>
                                </w:rPr>
                                <w:t>2008</w:t>
                              </w:r>
                            </w:p>
                          </w:txbxContent>
                        </wps:txbx>
                        <wps:bodyPr rot="0" vert="horz" wrap="square" lIns="36576" tIns="36576" rIns="36576" bIns="36576" anchor="t" anchorCtr="0" upright="1">
                          <a:noAutofit/>
                        </wps:bodyPr>
                      </wps:wsp>
                      <wps:wsp>
                        <wps:cNvPr id="137" name="Text Box 109"/>
                        <wps:cNvSpPr txBox="1">
                          <a:spLocks noChangeArrowheads="1"/>
                        </wps:cNvSpPr>
                        <wps:spPr bwMode="auto">
                          <a:xfrm>
                            <a:off x="1115099" y="1124759"/>
                            <a:ext cx="3230"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2009</w:t>
                              </w:r>
                            </w:p>
                          </w:txbxContent>
                        </wps:txbx>
                        <wps:bodyPr rot="0" vert="horz" wrap="square" lIns="36576" tIns="36576" rIns="36576" bIns="36576" anchor="t" anchorCtr="0" upright="1">
                          <a:noAutofit/>
                        </wps:bodyPr>
                      </wps:wsp>
                      <wps:wsp>
                        <wps:cNvPr id="138" name="Text Box 110"/>
                        <wps:cNvSpPr txBox="1">
                          <a:spLocks noChangeArrowheads="1"/>
                        </wps:cNvSpPr>
                        <wps:spPr bwMode="auto">
                          <a:xfrm>
                            <a:off x="1119624" y="112475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2010</w:t>
                              </w:r>
                            </w:p>
                          </w:txbxContent>
                        </wps:txbx>
                        <wps:bodyPr rot="0" vert="horz" wrap="square" lIns="36576" tIns="36576" rIns="36576" bIns="36576" anchor="t" anchorCtr="0" upright="1">
                          <a:noAutofit/>
                        </wps:bodyPr>
                      </wps:wsp>
                      <wps:wsp>
                        <wps:cNvPr id="139" name="Text Box 111"/>
                        <wps:cNvSpPr txBox="1">
                          <a:spLocks noChangeArrowheads="1"/>
                        </wps:cNvSpPr>
                        <wps:spPr bwMode="auto">
                          <a:xfrm>
                            <a:off x="1124196" y="112475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2011</w:t>
                              </w:r>
                            </w:p>
                          </w:txbxContent>
                        </wps:txbx>
                        <wps:bodyPr rot="0" vert="horz" wrap="square" lIns="36576" tIns="36576" rIns="36576" bIns="36576" anchor="t" anchorCtr="0" upright="1">
                          <a:noAutofit/>
                        </wps:bodyPr>
                      </wps:wsp>
                      <wps:wsp>
                        <wps:cNvPr id="140" name="Text Box 112"/>
                        <wps:cNvSpPr txBox="1">
                          <a:spLocks noChangeArrowheads="1"/>
                        </wps:cNvSpPr>
                        <wps:spPr bwMode="auto">
                          <a:xfrm>
                            <a:off x="1128720" y="1124759"/>
                            <a:ext cx="3229" cy="2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C084B" w:rsidRDefault="00FC084B" w:rsidP="00415F43">
                              <w:pPr>
                                <w:widowControl w:val="0"/>
                                <w:jc w:val="center"/>
                                <w:rPr>
                                  <w:sz w:val="18"/>
                                  <w:szCs w:val="18"/>
                                </w:rPr>
                              </w:pPr>
                              <w:r>
                                <w:rPr>
                                  <w:color w:val="383F00"/>
                                  <w:sz w:val="18"/>
                                  <w:szCs w:val="18"/>
                                </w:rPr>
                                <w:t>2012</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91" style="position:absolute;left:0;text-align:left;margin-left:1.15pt;margin-top:105pt;width:256.35pt;height:158.5pt;z-index:251694080;mso-position-horizontal-relative:text;mso-position-vertical-relative:text" coordorigin="11025,11067" coordsize="325,2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">
                <v:shape id="Picture 107" o:spid="_x0000_s1092" type="#_x0000_t75" style="position:absolute;left:11025;top:11067;width:325;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F58HCAAAA3AAAAA8AAABkcnMvZG93bnJldi54bWxET01rAjEQvRf8D2GE3mpWa0VWo7SlBU8t&#10;u+3F27AZN4ubSUjSdfvvm4LgbR7vc7b70fZioBA7xwrmswIEceN0x62C76/3hzWImJA19o5JwS9F&#10;2O8md1sstbtwRUOdWpFDOJaowKTkSyljY8hinDlPnLmTCxZThqGVOuAlh9teLopiJS12nBsMeno1&#10;1JzrH6vAvSw+qyK8rc3H0bOtaj8sw1Gp++n4vAGRaEw38dV90Hn+4xP8P5MvkL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BefBwgAAANwAAAAPAAAAAAAAAAAAAAAAAJ8C&#10;AABkcnMvZG93bnJldi54bWxQSwUGAAAAAAQABAD3AAAAjgMAAAAA&#10;">
                  <v:imagedata r:id="rId24" o:title="" croptop="3308f" cropbottom="2027f" cropleft="1013f" cropright="7150f"/>
                </v:shape>
                <v:shape id="Text Box 108" o:spid="_x0000_s1093" type="#_x0000_t202" style="position:absolute;left:11103;top:11247;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EasEA&#10;AADcAAAADwAAAGRycy9kb3ducmV2LnhtbERPS4vCMBC+C/sfwizsTVMV6lKNIgsLHhZ8suexGdti&#10;MylJtNVfbwTB23x8z5ktOlOLKzlfWVYwHCQgiHOrKy4UHPa//W8QPiBrrC2Tght5WMw/ejPMtG15&#10;S9ddKEQMYZ+hgjKEJpPS5yUZ9APbEEfuZJ3BEKErpHbYxnBTy1GSpNJgxbGhxIZ+SsrPu4tR8H+c&#10;XDatG2+253uT1nbp13/BK/X12S2nIAJ14S1+uVc6zh+n8HwmXi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lhGrBAAAA3AAAAA8AAAAAAAAAAAAAAAAAmAIAAGRycy9kb3du&#10;cmV2LnhtbFBLBQYAAAAABAAEAPUAAACGAwAAAAA=&#10;" filled="f" stroked="f" strokecolor="black [0]" insetpen="t">
                  <v:textbox inset="2.88pt,2.88pt,2.88pt,2.88pt">
                    <w:txbxContent>
                      <w:p w:rsidR="00FC084B" w:rsidRDefault="00FC084B" w:rsidP="00415F43">
                        <w:pPr>
                          <w:widowControl w:val="0"/>
                          <w:jc w:val="center"/>
                          <w:rPr>
                            <w:color w:val="383F00"/>
                            <w:sz w:val="18"/>
                            <w:szCs w:val="18"/>
                          </w:rPr>
                        </w:pPr>
                        <w:r>
                          <w:rPr>
                            <w:color w:val="383F00"/>
                            <w:sz w:val="18"/>
                            <w:szCs w:val="18"/>
                          </w:rPr>
                          <w:t>2008</w:t>
                        </w:r>
                      </w:p>
                    </w:txbxContent>
                  </v:textbox>
                </v:shape>
                <v:shape id="Text Box 109" o:spid="_x0000_s1094" type="#_x0000_t202" style="position:absolute;left:11150;top:11247;width:3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h8cMA&#10;AADcAAAADwAAAGRycy9kb3ducmV2LnhtbERPTWvCQBC9F/oflil4azY1YEp0FSkIHoQaLT1Ps2MS&#10;zM6G3TWJ/fXdQqG3ebzPWW0m04mBnG8tK3hJUhDEldUt1wo+zrvnVxA+IGvsLJOCO3nYrB8fVlho&#10;O3JJwynUIoawL1BBE0JfSOmrhgz6xPbEkbtYZzBE6GqpHY4x3HRynqYLabDl2NBgT28NVdfTzSj4&#10;/Mpvx9Flx/L63S86u/Xvh+CVmj1N2yWIQFP4F/+59zrOz3L4fSZ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kh8cMAAADcAAAADwAAAAAAAAAAAAAAAACYAgAAZHJzL2Rv&#10;d25yZXYueG1sUEsFBgAAAAAEAAQA9QAAAIgDA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2009</w:t>
                        </w:r>
                      </w:p>
                    </w:txbxContent>
                  </v:textbox>
                </v:shape>
                <v:shape id="Text Box 110" o:spid="_x0000_s1095" type="#_x0000_t202" style="position:absolute;left:11196;top:11247;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a1g8UA&#10;AADcAAAADwAAAGRycy9kb3ducmV2LnhtbESPT2vCQBDF7wW/wzKCt7qxgpXUVUQoeBDqPzyP2WkS&#10;zM6G3dXEfvrOodDbDO/Ne79ZrHrXqAeFWHs2MBlnoIgLb2suDZxPn69zUDEhW2w8k4EnRVgtBy8L&#10;zK3v+ECPYyqVhHDM0UCVUptrHYuKHMaxb4lF+/bBYZI1lNoG7CTcNfoty2baYc3SUGFLm4qK2/Hu&#10;DFyu7/d9F6b7w+2nnTV+Hb92KRozGvbrD1CJ+vRv/rveWsGfCq0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rWDxQAAANwAAAAPAAAAAAAAAAAAAAAAAJgCAABkcnMv&#10;ZG93bnJldi54bWxQSwUGAAAAAAQABAD1AAAAigM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2010</w:t>
                        </w:r>
                      </w:p>
                    </w:txbxContent>
                  </v:textbox>
                </v:shape>
                <v:shape id="Text Box 111" o:spid="_x0000_s1096" type="#_x0000_t202" style="position:absolute;left:11241;top:11247;width:3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QGMMA&#10;AADcAAAADwAAAGRycy9kb3ducmV2LnhtbERPTWvCQBC9C/0PywjedGMDaU1dRQoFD4XGVDyP2WkS&#10;zM6G3dWk/fXdQsHbPN7nrLej6cSNnG8tK1guEhDEldUt1wqOn2/zZxA+IGvsLJOCb/Kw3TxM1phr&#10;O/CBbmWoRQxhn6OCJoQ+l9JXDRn0C9sTR+7LOoMhQldL7XCI4aaTj0mSSYMtx4YGe3ptqLqUV6Pg&#10;dH66FoNLi8Plp886u/Mf78ErNZuOuxcQgcZwF/+79zrOT1fw90y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oQGMMAAADcAAAADwAAAAAAAAAAAAAAAACYAgAAZHJzL2Rv&#10;d25yZXYueG1sUEsFBgAAAAAEAAQA9QAAAIgDA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2011</w:t>
                        </w:r>
                      </w:p>
                    </w:txbxContent>
                  </v:textbox>
                </v:shape>
                <v:shape id="Text Box 112" o:spid="_x0000_s1097" type="#_x0000_t202" style="position:absolute;left:11287;top:11247;width:3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bK+MUA&#10;AADcAAAADwAAAGRycy9kb3ducmV2LnhtbESPT2vCQBDF7wW/wzKCt7qpFpXUVUQo9CDUf3ieZqdJ&#10;MDsbdlcT++k7h0JvM7w37/1mue5do+4UYu3ZwMs4A0VceFtzaeB8en9egIoJ2WLjmQw8KMJ6NXha&#10;Ym59xwe6H1OpJIRjjgaqlNpc61hU5DCOfUss2rcPDpOsodQ2YCfhrtGTLJtphzVLQ4UtbSsqrseb&#10;M3D5mt/2XZjuD9efdtb4TfzcpWjMaNhv3kAl6tO/+e/6wwr+q+DLMzKB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sr4xQAAANwAAAAPAAAAAAAAAAAAAAAAAJgCAABkcnMv&#10;ZG93bnJldi54bWxQSwUGAAAAAAQABAD1AAAAigMAAAAA&#10;" filled="f" stroked="f" strokecolor="black [0]" insetpen="t">
                  <v:textbox inset="2.88pt,2.88pt,2.88pt,2.88pt">
                    <w:txbxContent>
                      <w:p w:rsidR="00FC084B" w:rsidRDefault="00FC084B" w:rsidP="00415F43">
                        <w:pPr>
                          <w:widowControl w:val="0"/>
                          <w:jc w:val="center"/>
                          <w:rPr>
                            <w:sz w:val="18"/>
                            <w:szCs w:val="18"/>
                          </w:rPr>
                        </w:pPr>
                        <w:r>
                          <w:rPr>
                            <w:color w:val="383F00"/>
                            <w:sz w:val="18"/>
                            <w:szCs w:val="18"/>
                          </w:rPr>
                          <w:t>2012</w:t>
                        </w:r>
                      </w:p>
                    </w:txbxContent>
                  </v:textbox>
                </v:shape>
                <w10:wrap type="topAndBottom"/>
              </v:group>
            </w:pict>
          </mc:Fallback>
        </mc:AlternateContent>
      </w:r>
      <w:r w:rsidR="00415F43" w:rsidRPr="00415F43">
        <w:rPr>
          <w:rFonts w:asciiTheme="minorHAnsi" w:hAnsiTheme="minorHAnsi"/>
        </w:rPr>
        <w:t>Personu, kuras vēlējās apgūt augu aizsardzības zināšanu minimumu un personu, kuras vēlējās saņemt konsultantu apliecības kopējais skaits 2012.gadā bija lielāks nekā 2011. gadā.</w:t>
      </w:r>
      <w:proofErr w:type="gramStart"/>
      <w:r w:rsidR="00415F43" w:rsidRPr="00415F43">
        <w:rPr>
          <w:rFonts w:asciiTheme="minorHAnsi" w:hAnsiTheme="minorHAnsi"/>
        </w:rPr>
        <w:t xml:space="preserve">  </w:t>
      </w:r>
      <w:proofErr w:type="gramEnd"/>
      <w:r w:rsidR="00415F43" w:rsidRPr="00415F43">
        <w:rPr>
          <w:rFonts w:asciiTheme="minorHAnsi" w:hAnsiTheme="minorHAnsi"/>
        </w:rPr>
        <w:t>Apmācāmo personu skaita palielinājums skaidrojas ar plānotajām izmaiņām apmācību sistēmā 2013.gadā un personu vēlmi saņemt apliecības saskaņā ar līdzšinējo kārtību.</w:t>
      </w:r>
      <w:r w:rsidR="00CC371C" w:rsidRPr="00CC371C">
        <w:rPr>
          <w:i/>
          <w:iCs/>
          <w:color w:val="555F00"/>
          <w:sz w:val="16"/>
          <w:szCs w:val="16"/>
        </w:rPr>
        <w:t xml:space="preserve"> </w:t>
      </w:r>
    </w:p>
    <w:p w:rsidR="00CC371C" w:rsidRDefault="00CC371C" w:rsidP="00CC371C">
      <w:pPr>
        <w:widowControl w:val="0"/>
        <w:jc w:val="both"/>
        <w:rPr>
          <w:i/>
          <w:iCs/>
          <w:color w:val="555F00"/>
          <w:sz w:val="16"/>
          <w:szCs w:val="16"/>
        </w:rPr>
      </w:pPr>
    </w:p>
    <w:p w:rsidR="00CC371C" w:rsidRDefault="00CC371C" w:rsidP="00CC371C">
      <w:pPr>
        <w:pStyle w:val="grafikiem"/>
      </w:pPr>
      <w:r>
        <w:lastRenderedPageBreak/>
        <w:t>2008. - 2012.gadā izsniegto Apliecību par augu aizsardzības zināšanu minimuma apgūšanu skaits (4.6.)</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Apmācītas personas augu aizsardzībā</w:t>
      </w:r>
      <w:r w:rsidRPr="00415F43">
        <w:rPr>
          <w:rFonts w:asciiTheme="minorHAnsi" w:hAnsiTheme="minorHAnsi"/>
        </w:rPr>
        <w:t xml:space="preserve">” ir izpildīts par 120%. Bija plānots apmācīt un izsniegt 1580 pretendentiem "Apliecības par augu aizsardzības zināšanu minimuma apguvi", kas dod tiesības pirkt, uzglabāt un lietot augu aizsardzības līdzekļus. Pavisam kopumā tika apmācītas 1904 personas. Šī rezultatīvā rādītāja izpilde atkarīga no pretendentu skaita. </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Augu aizsardzības līdzekļu izplatīšanas prasību izpildes kontrole</w:t>
      </w:r>
      <w:r w:rsidRPr="00415F43">
        <w:rPr>
          <w:rFonts w:asciiTheme="minorHAnsi" w:hAnsiTheme="minorHAnsi"/>
        </w:rPr>
        <w:t>” ir izpildīts par</w:t>
      </w:r>
      <w:proofErr w:type="gramStart"/>
      <w:r w:rsidRPr="00415F43">
        <w:rPr>
          <w:rFonts w:asciiTheme="minorHAnsi" w:hAnsiTheme="minorHAnsi"/>
        </w:rPr>
        <w:t xml:space="preserve">  </w:t>
      </w:r>
      <w:proofErr w:type="gramEnd"/>
      <w:r w:rsidRPr="00415F43">
        <w:rPr>
          <w:rFonts w:asciiTheme="minorHAnsi" w:hAnsiTheme="minorHAnsi"/>
        </w:rPr>
        <w:t xml:space="preserve">111%. Bija plānots veikt 226 pārbaudes, bet tā kā palielinājās pieprasījums pēc speciālām atļaujām (licencēm), veiktas 251 pārbaudes AAL izplatīšanas vietās. </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Augu aizsardzības līdzekļu kvalitātes laboratoriskā testēšana</w:t>
      </w:r>
      <w:r w:rsidRPr="00415F43">
        <w:rPr>
          <w:rFonts w:asciiTheme="minorHAnsi" w:hAnsiTheme="minorHAnsi"/>
        </w:rPr>
        <w:t>” izpildīts par 100%. Bija paredzēts veikt laboratorisku testēšanu 13 AAL paraugiem, bet veikta laboratoriska testēšana 11 AAL paraugiem, jo diviem AAL atklāta darbīgo vielu neatbilstība reģistrētajām un bija jāveic atkārtotas analīzes.</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 xml:space="preserve">Augu aizsardzības līdzekļu lietošanas prasību izpildes kontrole </w:t>
      </w:r>
      <w:r w:rsidRPr="00415F43">
        <w:rPr>
          <w:rFonts w:asciiTheme="minorHAnsi" w:hAnsiTheme="minorHAnsi"/>
        </w:rPr>
        <w:t xml:space="preserve">” </w:t>
      </w:r>
      <w:proofErr w:type="gramStart"/>
      <w:r w:rsidRPr="00415F43">
        <w:rPr>
          <w:rFonts w:asciiTheme="minorHAnsi" w:hAnsiTheme="minorHAnsi"/>
        </w:rPr>
        <w:t>ir izpildīts</w:t>
      </w:r>
      <w:proofErr w:type="gramEnd"/>
      <w:r w:rsidRPr="00415F43">
        <w:rPr>
          <w:rFonts w:asciiTheme="minorHAnsi" w:hAnsiTheme="minorHAnsi"/>
        </w:rPr>
        <w:t xml:space="preserve"> par 103 %. Bija plānots veikt 715 pārbaudes pie personām, kas nodarbojas ar lauksaimniecību un kas ir potenciālie AAL lietotāji, faktiski veiktas 737 pārbaudes, jo papildus veiktas pārbaudes uz sūdzību pamata.</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Augu aizsardzības līdzekļu lietojuma pārbaude, veicot augu un augu produktu laboratorisko testēšanu</w:t>
      </w:r>
      <w:r w:rsidRPr="00415F43">
        <w:rPr>
          <w:rFonts w:asciiTheme="minorHAnsi" w:hAnsiTheme="minorHAnsi"/>
        </w:rPr>
        <w:t xml:space="preserve">” ir izpildīts par 100%. </w:t>
      </w:r>
    </w:p>
    <w:p w:rsidR="00415F43" w:rsidRDefault="00415F43" w:rsidP="00415F43">
      <w:pPr>
        <w:widowControl w:val="0"/>
        <w:spacing w:before="120"/>
        <w:jc w:val="both"/>
        <w:rPr>
          <w:rFonts w:asciiTheme="minorHAnsi" w:hAnsiTheme="minorHAnsi"/>
        </w:rPr>
      </w:pPr>
      <w:r w:rsidRPr="00415F43">
        <w:rPr>
          <w:rFonts w:asciiTheme="minorHAnsi" w:hAnsiTheme="minorHAnsi"/>
        </w:rPr>
        <w:t>Rezultatīvais rādītājs „</w:t>
      </w:r>
      <w:r w:rsidRPr="00415F43">
        <w:rPr>
          <w:rFonts w:asciiTheme="minorHAnsi" w:hAnsiTheme="minorHAnsi"/>
          <w:b/>
          <w:bCs/>
        </w:rPr>
        <w:t>Integrētās audzēšanas prasību izpildes kontrole</w:t>
      </w:r>
      <w:r w:rsidRPr="00415F43">
        <w:rPr>
          <w:rFonts w:asciiTheme="minorHAnsi" w:hAnsiTheme="minorHAnsi"/>
        </w:rPr>
        <w:t xml:space="preserve">” </w:t>
      </w:r>
      <w:proofErr w:type="gramStart"/>
      <w:r w:rsidRPr="00415F43">
        <w:rPr>
          <w:rFonts w:asciiTheme="minorHAnsi" w:hAnsiTheme="minorHAnsi"/>
        </w:rPr>
        <w:t>ir izpildīts</w:t>
      </w:r>
      <w:proofErr w:type="gramEnd"/>
      <w:r w:rsidRPr="00415F43">
        <w:rPr>
          <w:rFonts w:asciiTheme="minorHAnsi" w:hAnsiTheme="minorHAnsi"/>
        </w:rPr>
        <w:t xml:space="preserve"> par 97%. Plānā bija paredzēts veikt 316 pārbaudes, faktiski veiktas</w:t>
      </w:r>
      <w:r>
        <w:rPr>
          <w:rFonts w:asciiTheme="minorHAnsi" w:hAnsiTheme="minorHAnsi"/>
        </w:rPr>
        <w:t xml:space="preserve"> -</w:t>
      </w:r>
      <w:r w:rsidRPr="00415F43">
        <w:rPr>
          <w:rFonts w:asciiTheme="minorHAnsi" w:hAnsiTheme="minorHAnsi"/>
        </w:rPr>
        <w:t xml:space="preserve"> 307. Šī rezultatīvā rādītāja izpilde atkarīga no pretendentu skaita, kas vēlas audzēt lauksaimniecības produktus integrēti.</w:t>
      </w:r>
    </w:p>
    <w:p w:rsidR="00615043" w:rsidRDefault="00615043" w:rsidP="0062068F">
      <w:pPr>
        <w:widowControl w:val="0"/>
        <w:shd w:val="clear" w:color="auto" w:fill="EAF1DD" w:themeFill="accent3" w:themeFillTint="33"/>
        <w:spacing w:before="120"/>
        <w:jc w:val="both"/>
        <w:rPr>
          <w:rFonts w:asciiTheme="minorHAnsi" w:hAnsiTheme="minorHAnsi"/>
          <w:sz w:val="4"/>
          <w:szCs w:val="4"/>
        </w:rPr>
      </w:pPr>
    </w:p>
    <w:p w:rsidR="0062068F" w:rsidRDefault="0062068F" w:rsidP="0062068F">
      <w:pPr>
        <w:widowControl w:val="0"/>
        <w:shd w:val="clear" w:color="auto" w:fill="EAF1DD" w:themeFill="accent3" w:themeFillTint="33"/>
        <w:spacing w:before="120"/>
        <w:jc w:val="both"/>
        <w:rPr>
          <w:bCs/>
          <w:color w:val="555F00"/>
        </w:rPr>
      </w:pPr>
      <w:r w:rsidRPr="0062068F">
        <w:rPr>
          <w:rFonts w:asciiTheme="minorHAnsi" w:hAnsiTheme="minorHAnsi"/>
          <w:sz w:val="28"/>
        </w:rPr>
        <w:t>Normatīvo aktu ievērošanas uzraudzība un kontrole</w:t>
      </w:r>
    </w:p>
    <w:p w:rsidR="00CC371C" w:rsidRDefault="00CC371C" w:rsidP="0062068F">
      <w:pPr>
        <w:widowControl w:val="0"/>
        <w:jc w:val="both"/>
        <w:rPr>
          <w:rFonts w:asciiTheme="minorHAnsi" w:hAnsiTheme="minorHAnsi"/>
        </w:rPr>
      </w:pPr>
    </w:p>
    <w:p w:rsidR="00415F43" w:rsidRDefault="00415F43" w:rsidP="0062068F">
      <w:pPr>
        <w:widowControl w:val="0"/>
        <w:jc w:val="both"/>
        <w:rPr>
          <w:rFonts w:asciiTheme="minorHAnsi" w:hAnsiTheme="minorHAnsi"/>
        </w:rPr>
      </w:pPr>
      <w:r w:rsidRPr="00415F43">
        <w:rPr>
          <w:rFonts w:asciiTheme="minorHAnsi" w:hAnsiTheme="minorHAnsi"/>
        </w:rPr>
        <w:t>VAAD kompetencē ir veikt valsts uzraudzību un kontroli par augu aizsardzības jomas normatīvo aktu prasību ievērošanu. VAAD šo uzraudzību veic AAL izplatīšanas vietās un pie personām, kas veic lauksaimniecisko darbību – audzē kultūraugus, kuriem kaitīgo organismu ierobežošanai lieto AAL.</w:t>
      </w:r>
    </w:p>
    <w:p w:rsidR="0062068F" w:rsidRDefault="0062068F" w:rsidP="0062068F">
      <w:pPr>
        <w:rPr>
          <w:i/>
          <w:iCs/>
          <w:color w:val="555F00"/>
        </w:rPr>
      </w:pPr>
    </w:p>
    <w:p w:rsidR="0062068F" w:rsidRPr="0062068F" w:rsidRDefault="0062068F" w:rsidP="0062068F">
      <w:pPr>
        <w:widowControl w:val="0"/>
        <w:shd w:val="clear" w:color="auto" w:fill="DAEEF3" w:themeFill="accent5" w:themeFillTint="33"/>
        <w:spacing w:before="120"/>
        <w:jc w:val="both"/>
        <w:rPr>
          <w:rFonts w:asciiTheme="minorHAnsi" w:hAnsiTheme="minorHAnsi"/>
          <w:sz w:val="28"/>
        </w:rPr>
      </w:pPr>
      <w:r w:rsidRPr="0062068F">
        <w:rPr>
          <w:rFonts w:asciiTheme="minorHAnsi" w:hAnsiTheme="minorHAnsi"/>
          <w:sz w:val="28"/>
        </w:rPr>
        <w:t xml:space="preserve">AAL izplatīšanas normatīvo aktu prasību pārbaudes </w:t>
      </w:r>
    </w:p>
    <w:p w:rsidR="0062068F" w:rsidRPr="0062068F" w:rsidRDefault="007D1896" w:rsidP="0062068F">
      <w:pPr>
        <w:rPr>
          <w:rFonts w:asciiTheme="minorHAnsi" w:hAnsiTheme="minorHAnsi"/>
          <w:sz w:val="20"/>
          <w:szCs w:val="20"/>
        </w:rPr>
      </w:pPr>
      <w:r>
        <w:rPr>
          <w:rFonts w:asciiTheme="minorHAnsi" w:hAnsiTheme="minorHAnsi"/>
          <w:noProof/>
          <w:sz w:val="20"/>
          <w:szCs w:val="20"/>
        </w:rPr>
        <mc:AlternateContent>
          <mc:Choice Requires="wps">
            <w:drawing>
              <wp:anchor distT="36576" distB="36576" distL="36576" distR="36576" simplePos="0" relativeHeight="251696128" behindDoc="0" locked="0" layoutInCell="1" allowOverlap="1" wp14:anchorId="3A751A40" wp14:editId="397CD90D">
                <wp:simplePos x="0" y="0"/>
                <wp:positionH relativeFrom="column">
                  <wp:posOffset>461010</wp:posOffset>
                </wp:positionH>
                <wp:positionV relativeFrom="paragraph">
                  <wp:posOffset>6372860</wp:posOffset>
                </wp:positionV>
                <wp:extent cx="3246755" cy="1969770"/>
                <wp:effectExtent l="0" t="0" r="10795" b="1143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46755" cy="196977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36.3pt;margin-top:501.8pt;width:255.65pt;height:155.1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" filled="f" stroked="f" insetpen="t">
                <v:shadow color="#e7dec9"/>
                <o:lock v:ext="edit" shapetype="t"/>
                <v:textbox inset="0,0,0,0"/>
              </v:rect>
            </w:pict>
          </mc:Fallback>
        </mc:AlternateContent>
      </w:r>
    </w:p>
    <w:tbl>
      <w:tblPr>
        <w:tblW w:w="6679" w:type="dxa"/>
        <w:tblCellMar>
          <w:left w:w="0" w:type="dxa"/>
          <w:right w:w="0" w:type="dxa"/>
        </w:tblCellMar>
        <w:tblLook w:val="04A0" w:firstRow="1" w:lastRow="0" w:firstColumn="1" w:lastColumn="0" w:noHBand="0" w:noVBand="1"/>
      </w:tblPr>
      <w:tblGrid>
        <w:gridCol w:w="683"/>
        <w:gridCol w:w="5329"/>
        <w:gridCol w:w="667"/>
      </w:tblGrid>
      <w:tr w:rsidR="0062068F" w:rsidRPr="00615043" w:rsidTr="00077677">
        <w:trPr>
          <w:trHeight w:val="626"/>
        </w:trPr>
        <w:tc>
          <w:tcPr>
            <w:tcW w:w="6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b/>
                <w:bCs/>
                <w:kern w:val="28"/>
                <w:sz w:val="20"/>
                <w:szCs w:val="20"/>
              </w:rPr>
            </w:pPr>
            <w:proofErr w:type="spellStart"/>
            <w:r w:rsidRPr="00615043">
              <w:rPr>
                <w:rFonts w:asciiTheme="minorHAnsi" w:hAnsiTheme="minorHAnsi"/>
                <w:b/>
                <w:bCs/>
                <w:sz w:val="20"/>
                <w:szCs w:val="20"/>
              </w:rPr>
              <w:t>Nr.p.k</w:t>
            </w:r>
            <w:proofErr w:type="spellEnd"/>
            <w:r w:rsidRPr="00615043">
              <w:rPr>
                <w:rFonts w:asciiTheme="minorHAnsi" w:hAnsiTheme="minorHAnsi"/>
                <w:b/>
                <w:bCs/>
                <w:sz w:val="20"/>
                <w:szCs w:val="20"/>
              </w:rPr>
              <w:t>.</w:t>
            </w:r>
          </w:p>
        </w:tc>
        <w:tc>
          <w:tcPr>
            <w:tcW w:w="5329"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AAL izplatīšanas noteikumu ievērošanas pārbaudes</w:t>
            </w:r>
          </w:p>
        </w:tc>
        <w:tc>
          <w:tcPr>
            <w:tcW w:w="66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b/>
                <w:bCs/>
                <w:kern w:val="28"/>
                <w:sz w:val="20"/>
                <w:szCs w:val="20"/>
              </w:rPr>
            </w:pPr>
            <w:r w:rsidRPr="00615043">
              <w:rPr>
                <w:rFonts w:asciiTheme="minorHAnsi" w:hAnsiTheme="minorHAnsi"/>
                <w:b/>
                <w:bCs/>
                <w:sz w:val="20"/>
                <w:szCs w:val="20"/>
              </w:rPr>
              <w:t>Skaits</w:t>
            </w:r>
          </w:p>
        </w:tc>
      </w:tr>
      <w:tr w:rsidR="0062068F" w:rsidRPr="00615043" w:rsidTr="00077677">
        <w:trPr>
          <w:trHeight w:val="211"/>
        </w:trPr>
        <w:tc>
          <w:tcPr>
            <w:tcW w:w="683" w:type="dxa"/>
            <w:tcBorders>
              <w:top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w:t>
            </w:r>
          </w:p>
        </w:tc>
        <w:tc>
          <w:tcPr>
            <w:tcW w:w="5329" w:type="dxa"/>
            <w:tcBorders>
              <w:top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AAL izplatīšanas vietu atbilstības pārbaudes</w:t>
            </w:r>
          </w:p>
        </w:tc>
        <w:tc>
          <w:tcPr>
            <w:tcW w:w="667" w:type="dxa"/>
            <w:tcBorders>
              <w:top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35</w:t>
            </w:r>
          </w:p>
        </w:tc>
      </w:tr>
      <w:tr w:rsidR="0062068F" w:rsidRPr="00615043" w:rsidTr="00077677">
        <w:trPr>
          <w:trHeight w:val="523"/>
        </w:trPr>
        <w:tc>
          <w:tcPr>
            <w:tcW w:w="683"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w:t>
            </w:r>
          </w:p>
        </w:tc>
        <w:tc>
          <w:tcPr>
            <w:tcW w:w="5329"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Pārbaudes AAL izplatīšanas vietās, kuras saņēmušas (speciālas atļaujas licences)</w:t>
            </w:r>
            <w:proofErr w:type="gramStart"/>
            <w:r w:rsidRPr="00615043">
              <w:rPr>
                <w:rFonts w:asciiTheme="minorHAnsi" w:hAnsiTheme="minorHAnsi"/>
                <w:sz w:val="20"/>
                <w:szCs w:val="20"/>
              </w:rPr>
              <w:t xml:space="preserve">   </w:t>
            </w:r>
            <w:proofErr w:type="gramEnd"/>
          </w:p>
        </w:tc>
        <w:tc>
          <w:tcPr>
            <w:tcW w:w="667"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251</w:t>
            </w:r>
          </w:p>
        </w:tc>
      </w:tr>
      <w:tr w:rsidR="0062068F" w:rsidRPr="00615043" w:rsidTr="00077677">
        <w:trPr>
          <w:trHeight w:val="397"/>
        </w:trPr>
        <w:tc>
          <w:tcPr>
            <w:tcW w:w="683"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3.</w:t>
            </w:r>
          </w:p>
        </w:tc>
        <w:tc>
          <w:tcPr>
            <w:tcW w:w="5329"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 xml:space="preserve">AAL marķējuma pārbaudes </w:t>
            </w:r>
          </w:p>
        </w:tc>
        <w:tc>
          <w:tcPr>
            <w:tcW w:w="667"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32</w:t>
            </w:r>
          </w:p>
        </w:tc>
      </w:tr>
      <w:tr w:rsidR="0062068F" w:rsidRPr="00615043" w:rsidTr="00077677">
        <w:trPr>
          <w:trHeight w:val="402"/>
        </w:trPr>
        <w:tc>
          <w:tcPr>
            <w:tcW w:w="683"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4.</w:t>
            </w:r>
          </w:p>
        </w:tc>
        <w:tc>
          <w:tcPr>
            <w:tcW w:w="5329"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AAL kvalitātes laboratoriska testēšana</w:t>
            </w:r>
          </w:p>
        </w:tc>
        <w:tc>
          <w:tcPr>
            <w:tcW w:w="667" w:type="dxa"/>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13</w:t>
            </w:r>
          </w:p>
        </w:tc>
      </w:tr>
      <w:tr w:rsidR="0062068F" w:rsidRPr="00615043" w:rsidTr="00077677">
        <w:trPr>
          <w:trHeight w:val="648"/>
        </w:trPr>
        <w:tc>
          <w:tcPr>
            <w:tcW w:w="683" w:type="dxa"/>
            <w:tcBorders>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lastRenderedPageBreak/>
              <w:t>5.</w:t>
            </w:r>
          </w:p>
        </w:tc>
        <w:tc>
          <w:tcPr>
            <w:tcW w:w="5329" w:type="dxa"/>
            <w:tcBorders>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VAAD piedalīšanās parauga ņemšanā AAL, kam beidzies derīguma termiņš</w:t>
            </w:r>
          </w:p>
        </w:tc>
        <w:tc>
          <w:tcPr>
            <w:tcW w:w="667" w:type="dxa"/>
            <w:tcBorders>
              <w:bottom w:val="single" w:sz="8" w:space="0" w:color="3891A7"/>
            </w:tcBorders>
            <w:shd w:val="clear" w:color="auto" w:fill="FFFFFF"/>
            <w:tcMar>
              <w:top w:w="58" w:type="dxa"/>
              <w:left w:w="58" w:type="dxa"/>
              <w:bottom w:w="58" w:type="dxa"/>
              <w:right w:w="58" w:type="dxa"/>
            </w:tcMar>
            <w:hideMark/>
          </w:tcPr>
          <w:p w:rsidR="0062068F" w:rsidRPr="00615043" w:rsidRDefault="0062068F">
            <w:pPr>
              <w:widowControl w:val="0"/>
              <w:spacing w:after="120" w:line="285" w:lineRule="auto"/>
              <w:rPr>
                <w:rFonts w:asciiTheme="minorHAnsi" w:hAnsiTheme="minorHAnsi"/>
                <w:kern w:val="28"/>
                <w:sz w:val="20"/>
                <w:szCs w:val="20"/>
              </w:rPr>
            </w:pPr>
            <w:r w:rsidRPr="00615043">
              <w:rPr>
                <w:rFonts w:asciiTheme="minorHAnsi" w:hAnsiTheme="minorHAnsi"/>
                <w:sz w:val="20"/>
                <w:szCs w:val="20"/>
              </w:rPr>
              <w:t>38</w:t>
            </w:r>
          </w:p>
        </w:tc>
      </w:tr>
    </w:tbl>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AAL izplatīšanas vietai, kurai paredzēts izsniegt speciālu atļauju (licenci) ir jāatbilst AAL jomu regulējošo normatīvo aktu prasībām. 2012.gadā VAAD inspektori veica 35 AAL izplatīšanas vietu atbilstības pārbaudes un konstatēja, ka izplatīšanas vietas var nodrošināt augu aizsardzības jomu regulējošo normatīvo aktu prasību ievērošanu, lai tā saņemtu speciālu</w:t>
      </w:r>
      <w:proofErr w:type="gramStart"/>
      <w:r w:rsidRPr="00415F43">
        <w:rPr>
          <w:rFonts w:asciiTheme="minorHAnsi" w:hAnsiTheme="minorHAnsi"/>
        </w:rPr>
        <w:t xml:space="preserve">    </w:t>
      </w:r>
      <w:proofErr w:type="gramEnd"/>
      <w:r w:rsidRPr="00415F43">
        <w:rPr>
          <w:rFonts w:asciiTheme="minorHAnsi" w:hAnsiTheme="minorHAnsi"/>
        </w:rPr>
        <w:t xml:space="preserve">atļauju (licenci). </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Pārskata gadā AAL izplatīšanas vietās, kuras saņēmušas speciālas atļaujas (licences), veikta 251 pārbaude, no kurām 10 bija operatīvās pārbaudes, kas veiktas pamatojoties uz sūdzībām vai apmeklējot izplatīšanas vietas uz aizdomu pamata par iespējamo pārkāpumu. Šajās pārbaudēs konstatēti</w:t>
      </w:r>
      <w:proofErr w:type="gramStart"/>
      <w:r w:rsidRPr="00415F43">
        <w:rPr>
          <w:rFonts w:asciiTheme="minorHAnsi" w:hAnsiTheme="minorHAnsi"/>
        </w:rPr>
        <w:t xml:space="preserve">  </w:t>
      </w:r>
      <w:proofErr w:type="gramEnd"/>
      <w:r w:rsidRPr="00415F43">
        <w:rPr>
          <w:rFonts w:asciiTheme="minorHAnsi" w:hAnsiTheme="minorHAnsi"/>
        </w:rPr>
        <w:t xml:space="preserve">kopumā  39 maznozīmīgi pārkāpumi, un 10 būtiski normatīvo aktu pārkāpumi.   </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AAL marķējuma atbilstība VAAD apstiprinātajam marķējumam, pārbaudīta operatīvajās pārbaudēs, kas nozīmētas pēc informācijas saņemšanas par AAL ievešanu Latvijā. 2012.gadā veiktas 15 AAL marķējuma pārbaudes, kuru laikā pārbaudīti 32 AAL marķējumu atbilstība. Normatīvie akti paredz, ja persona ir konstatējusi, ka Latvijā ievestam AAL konstatēta neatbilstība, tad tā var VAAD rakstīt iesniegumu par konstatēto neatbilstību un priekšlikumu, kā šo neatbilstību novērst. Pērn kopumā VAAD izsniedza 15 šādas atļaujas. Šāds AAL neatbilstību novēršanas veids liek komersantiem būt uzmanīgākiem, kā arī</w:t>
      </w:r>
      <w:proofErr w:type="gramStart"/>
      <w:r w:rsidRPr="00415F43">
        <w:rPr>
          <w:rFonts w:asciiTheme="minorHAnsi" w:hAnsiTheme="minorHAnsi"/>
        </w:rPr>
        <w:t xml:space="preserve">  </w:t>
      </w:r>
      <w:proofErr w:type="gramEnd"/>
      <w:r w:rsidRPr="00415F43">
        <w:rPr>
          <w:rFonts w:asciiTheme="minorHAnsi" w:hAnsiTheme="minorHAnsi"/>
        </w:rPr>
        <w:t xml:space="preserve">izvairīties no administratīvajiem sodiem. </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AAL kvalitātes laboratoriskā testēšana veikta 11 AAL. Divu AAL darbīgās vielas saturs neatbilda reģistrētajam darbīgās vielas daudzumam, tika veiktas atkārtotas analīzes, lai pārliecinātos par AAL kvalitāti. Vienam AAL arī atkārtotu analīžu rezultāti uzrādīja darbīgās vielas daudzuma neatbilstību reģistrētajam darbīgās vielas daudzumam produktā. Saskaņā ar normatīvo aktu prasībām, šis AAL izņemts no AAL izplatīšanas vietām un izvests no valsts.</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VAAD inspektori ir piedalījušies AAL, kuriem beidzies derīguma termiņš, paraugu ņemšanā. Kopumā 2012.gadā noņemti 38 šādi paraugi. Visos gadījumos pieņemti lēmumi atļaut to turpmāku izplatīšanu.</w:t>
      </w:r>
    </w:p>
    <w:p w:rsidR="00415F43" w:rsidRPr="00415F43" w:rsidRDefault="00415F43" w:rsidP="00415F43">
      <w:pPr>
        <w:widowControl w:val="0"/>
        <w:spacing w:before="120"/>
        <w:jc w:val="both"/>
        <w:rPr>
          <w:rFonts w:asciiTheme="minorHAnsi" w:hAnsiTheme="minorHAnsi"/>
        </w:rPr>
      </w:pPr>
      <w:r w:rsidRPr="00415F43">
        <w:rPr>
          <w:rFonts w:asciiTheme="minorHAnsi" w:hAnsiTheme="minorHAnsi"/>
        </w:rPr>
        <w:t>Izplatīšanas vietu pārbaudēs konstatēti 39 maznozīmīgi pārkāpumi. Viens no biežāk konstatētajiem pārkāpumiem — AAL, kas pārbaudes brīdi atrodas izplatīšanas vietā, nav pieejama drošības datu lapa. Šāds pārkāpums konstatēts 6 reizes.</w:t>
      </w:r>
      <w:proofErr w:type="gramStart"/>
      <w:r w:rsidRPr="00415F43">
        <w:rPr>
          <w:rFonts w:asciiTheme="minorHAnsi" w:hAnsiTheme="minorHAnsi"/>
        </w:rPr>
        <w:t xml:space="preserve">  </w:t>
      </w:r>
      <w:proofErr w:type="gramEnd"/>
      <w:r w:rsidRPr="00415F43">
        <w:rPr>
          <w:rFonts w:asciiTheme="minorHAnsi" w:hAnsiTheme="minorHAnsi"/>
        </w:rPr>
        <w:t>Nākošais biežāk konstatētais maznozīmīgais pārkāpums — trūkst kāds no Ministru kabineta noteikumos noteiktajiem rādītājiem AAL uzskaitē. Pārējie maznozīmīgie</w:t>
      </w:r>
      <w:proofErr w:type="gramStart"/>
      <w:r w:rsidRPr="00415F43">
        <w:rPr>
          <w:rFonts w:asciiTheme="minorHAnsi" w:hAnsiTheme="minorHAnsi"/>
        </w:rPr>
        <w:t xml:space="preserve">  </w:t>
      </w:r>
      <w:proofErr w:type="gramEnd"/>
      <w:r w:rsidRPr="00415F43">
        <w:rPr>
          <w:rFonts w:asciiTheme="minorHAnsi" w:hAnsiTheme="minorHAnsi"/>
        </w:rPr>
        <w:t xml:space="preserve">pārkāpumi konstatēti nenozīmīgā daudzumā 1-2 reizes. </w:t>
      </w:r>
    </w:p>
    <w:p w:rsidR="0062068F" w:rsidRPr="0062068F" w:rsidRDefault="00415F43" w:rsidP="0062068F">
      <w:pPr>
        <w:widowControl w:val="0"/>
        <w:shd w:val="clear" w:color="auto" w:fill="DAEEF3" w:themeFill="accent5" w:themeFillTint="33"/>
        <w:spacing w:before="120"/>
        <w:jc w:val="both"/>
        <w:rPr>
          <w:rFonts w:asciiTheme="minorHAnsi" w:hAnsiTheme="minorHAnsi"/>
          <w:sz w:val="28"/>
        </w:rPr>
      </w:pPr>
      <w:r w:rsidRPr="0062068F">
        <w:rPr>
          <w:rFonts w:asciiTheme="minorHAnsi" w:hAnsiTheme="minorHAnsi"/>
          <w:sz w:val="28"/>
        </w:rPr>
        <w:t> </w:t>
      </w:r>
      <w:r w:rsidR="0062068F" w:rsidRPr="0062068F">
        <w:rPr>
          <w:rFonts w:asciiTheme="minorHAnsi" w:hAnsiTheme="minorHAnsi"/>
          <w:sz w:val="28"/>
        </w:rPr>
        <w:t>AAL izplatīšanas būtiskie pārkāpumi, par kuriem ierosinātas administratīvās pārkāpumu lietas</w:t>
      </w:r>
    </w:p>
    <w:p w:rsidR="0062068F" w:rsidRPr="00376E4F" w:rsidRDefault="0062068F" w:rsidP="0062068F">
      <w:r w:rsidRPr="00376E4F">
        <w:t> </w:t>
      </w:r>
      <w:r w:rsidR="007D1896" w:rsidRPr="00376E4F">
        <w:rPr>
          <w:noProof/>
        </w:rPr>
        <mc:AlternateContent>
          <mc:Choice Requires="wps">
            <w:drawing>
              <wp:anchor distT="36576" distB="36576" distL="36576" distR="36576" simplePos="0" relativeHeight="251698176" behindDoc="0" locked="0" layoutInCell="1" allowOverlap="1" wp14:anchorId="1E2FDF70" wp14:editId="2D9B8E26">
                <wp:simplePos x="0" y="0"/>
                <wp:positionH relativeFrom="column">
                  <wp:posOffset>467995</wp:posOffset>
                </wp:positionH>
                <wp:positionV relativeFrom="paragraph">
                  <wp:posOffset>876935</wp:posOffset>
                </wp:positionV>
                <wp:extent cx="3246755" cy="3388360"/>
                <wp:effectExtent l="0" t="0" r="10795" b="254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46755" cy="338836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6.85pt;margin-top:69.05pt;width:255.65pt;height:266.8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" filled="f" stroked="f" insetpen="t">
                <v:shadow color="#e7dec9"/>
                <o:lock v:ext="edit" shapetype="t"/>
                <v:textbox inset="0,0,0,0"/>
              </v:rect>
            </w:pict>
          </mc:Fallback>
        </mc:AlternateContent>
      </w:r>
    </w:p>
    <w:tbl>
      <w:tblPr>
        <w:tblW w:w="7671" w:type="dxa"/>
        <w:tblCellMar>
          <w:left w:w="0" w:type="dxa"/>
          <w:right w:w="0" w:type="dxa"/>
        </w:tblCellMar>
        <w:tblLook w:val="04A0" w:firstRow="1" w:lastRow="0" w:firstColumn="1" w:lastColumn="0" w:noHBand="0" w:noVBand="1"/>
      </w:tblPr>
      <w:tblGrid>
        <w:gridCol w:w="683"/>
        <w:gridCol w:w="6321"/>
        <w:gridCol w:w="667"/>
      </w:tblGrid>
      <w:tr w:rsidR="0062068F" w:rsidRPr="00376E4F" w:rsidTr="0062068F">
        <w:trPr>
          <w:trHeight w:val="622"/>
        </w:trPr>
        <w:tc>
          <w:tcPr>
            <w:tcW w:w="6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b/>
                <w:bCs/>
                <w:kern w:val="28"/>
                <w:sz w:val="20"/>
                <w:szCs w:val="20"/>
              </w:rPr>
            </w:pPr>
            <w:proofErr w:type="spellStart"/>
            <w:r w:rsidRPr="00376E4F">
              <w:rPr>
                <w:rFonts w:asciiTheme="minorHAnsi" w:hAnsiTheme="minorHAnsi"/>
                <w:b/>
                <w:bCs/>
                <w:sz w:val="20"/>
                <w:szCs w:val="20"/>
              </w:rPr>
              <w:t>Nr.p.k</w:t>
            </w:r>
            <w:proofErr w:type="spellEnd"/>
            <w:r w:rsidRPr="00376E4F">
              <w:rPr>
                <w:rFonts w:asciiTheme="minorHAnsi" w:hAnsiTheme="minorHAnsi"/>
                <w:b/>
                <w:bCs/>
                <w:sz w:val="20"/>
                <w:szCs w:val="20"/>
              </w:rPr>
              <w:t>.</w:t>
            </w:r>
          </w:p>
        </w:tc>
        <w:tc>
          <w:tcPr>
            <w:tcW w:w="632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Pārkāpuma būtība</w:t>
            </w:r>
          </w:p>
        </w:tc>
        <w:tc>
          <w:tcPr>
            <w:tcW w:w="66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Skaits</w:t>
            </w:r>
          </w:p>
        </w:tc>
      </w:tr>
      <w:tr w:rsidR="0062068F" w:rsidRPr="00376E4F" w:rsidTr="0062068F">
        <w:trPr>
          <w:trHeight w:val="382"/>
        </w:trPr>
        <w:tc>
          <w:tcPr>
            <w:tcW w:w="683"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c>
          <w:tcPr>
            <w:tcW w:w="6321"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Izplata Latvijā nereģistrētus AAL</w:t>
            </w:r>
          </w:p>
        </w:tc>
        <w:tc>
          <w:tcPr>
            <w:tcW w:w="667"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w:t>
            </w:r>
          </w:p>
        </w:tc>
      </w:tr>
      <w:tr w:rsidR="0062068F" w:rsidRPr="00376E4F" w:rsidTr="0062068F">
        <w:trPr>
          <w:trHeight w:val="351"/>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Izplata AAL bez VAAD speciālās atļaujas (licences)</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r>
      <w:tr w:rsidR="0062068F" w:rsidRPr="00376E4F" w:rsidTr="0062068F">
        <w:trPr>
          <w:trHeight w:val="151"/>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Izplata (atrodas tirdzniecības vietā) AAL pēc derīguma termiņa beigām</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r w:rsidR="0062068F" w:rsidRPr="00376E4F" w:rsidTr="0062068F">
        <w:trPr>
          <w:trHeight w:val="1139"/>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lastRenderedPageBreak/>
              <w:t>4.</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xml:space="preserve">Izplata AAL personām, kurām nav speciālas atļaujas (licences) augu aizsardzības līdzekļu izplatīšanai vai apliecības par tiesībām konsultēt par augu aizsardzības līdzekļu lietošanu, vai apliecības par tiesībām lietot augu aizsardzības līdzekļus </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r>
      <w:tr w:rsidR="0062068F" w:rsidRPr="00376E4F" w:rsidTr="0062068F">
        <w:trPr>
          <w:trHeight w:val="596"/>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5.</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xml:space="preserve">AAL uzglabāšanas vietā nav brīdinājuma zīmes par AAL, kuriem beidzies derīguma termiņš </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r w:rsidR="0062068F" w:rsidRPr="00376E4F" w:rsidTr="0062068F">
        <w:trPr>
          <w:trHeight w:val="648"/>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6.</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Tirdzniecības vietā nav veikta uzskaite par izplatītiem AAL</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r w:rsidR="0062068F" w:rsidRPr="00376E4F" w:rsidTr="0062068F">
        <w:trPr>
          <w:trHeight w:val="648"/>
        </w:trPr>
        <w:tc>
          <w:tcPr>
            <w:tcW w:w="683"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7.</w:t>
            </w:r>
          </w:p>
        </w:tc>
        <w:tc>
          <w:tcPr>
            <w:tcW w:w="6321"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Izplata AAL, kuru marķējuma teksts nav latviešu valodā, AAL nav izcelsmi apliecinošu dokumentu</w:t>
            </w:r>
          </w:p>
        </w:tc>
        <w:tc>
          <w:tcPr>
            <w:tcW w:w="667"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bl>
    <w:p w:rsidR="00555E71" w:rsidRDefault="00555E71" w:rsidP="0062068F">
      <w:pPr>
        <w:widowControl w:val="0"/>
        <w:spacing w:before="120"/>
        <w:jc w:val="both"/>
        <w:rPr>
          <w:rFonts w:asciiTheme="minorHAnsi" w:hAnsiTheme="minorHAnsi"/>
        </w:rPr>
      </w:pPr>
    </w:p>
    <w:p w:rsidR="0062068F" w:rsidRPr="0062068F" w:rsidRDefault="0062068F" w:rsidP="0062068F">
      <w:pPr>
        <w:widowControl w:val="0"/>
        <w:spacing w:before="120"/>
        <w:jc w:val="both"/>
        <w:rPr>
          <w:rFonts w:asciiTheme="minorHAnsi" w:hAnsiTheme="minorHAnsi"/>
        </w:rPr>
      </w:pPr>
      <w:r w:rsidRPr="0062068F">
        <w:rPr>
          <w:rFonts w:asciiTheme="minorHAnsi" w:hAnsiTheme="minorHAnsi"/>
        </w:rPr>
        <w:t>Viena no ierosinātām administratīvām pārkāpumu lietām, kas attiecas uz izplatīšanas normatīvo aktu prasībām ir pārsūdzēta tiesā, par kuru 2012.gadā netika pieņemts gala spriedums.</w:t>
      </w:r>
    </w:p>
    <w:p w:rsidR="0062068F" w:rsidRPr="0062068F" w:rsidRDefault="0062068F" w:rsidP="0062068F">
      <w:pPr>
        <w:widowControl w:val="0"/>
        <w:shd w:val="clear" w:color="auto" w:fill="DAEEF3" w:themeFill="accent5" w:themeFillTint="33"/>
        <w:spacing w:before="120"/>
        <w:jc w:val="both"/>
        <w:rPr>
          <w:rFonts w:asciiTheme="minorHAnsi" w:hAnsiTheme="minorHAnsi"/>
          <w:sz w:val="28"/>
        </w:rPr>
      </w:pPr>
      <w:r w:rsidRPr="0062068F">
        <w:rPr>
          <w:rFonts w:asciiTheme="minorHAnsi" w:hAnsiTheme="minorHAnsi"/>
          <w:sz w:val="28"/>
        </w:rPr>
        <w:t>Augu aizsardzības līdzekļu lietošanas normatīvo aktu prasību pārbaudes</w:t>
      </w:r>
    </w:p>
    <w:p w:rsidR="0062068F" w:rsidRDefault="0062068F" w:rsidP="0062068F">
      <w:pPr>
        <w:widowControl w:val="0"/>
        <w:rPr>
          <w:color w:val="000000"/>
        </w:rPr>
      </w:pPr>
      <w:r>
        <w:t> </w:t>
      </w:r>
    </w:p>
    <w:tbl>
      <w:tblPr>
        <w:tblW w:w="7671" w:type="dxa"/>
        <w:tblCellMar>
          <w:left w:w="0" w:type="dxa"/>
          <w:right w:w="0" w:type="dxa"/>
        </w:tblCellMar>
        <w:tblLook w:val="04A0" w:firstRow="1" w:lastRow="0" w:firstColumn="1" w:lastColumn="0" w:noHBand="0" w:noVBand="1"/>
      </w:tblPr>
      <w:tblGrid>
        <w:gridCol w:w="683"/>
        <w:gridCol w:w="6321"/>
        <w:gridCol w:w="667"/>
      </w:tblGrid>
      <w:tr w:rsidR="0062068F" w:rsidRPr="00376E4F" w:rsidTr="0062068F">
        <w:trPr>
          <w:trHeight w:val="626"/>
        </w:trPr>
        <w:tc>
          <w:tcPr>
            <w:tcW w:w="6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7D1896">
            <w:pPr>
              <w:widowControl w:val="0"/>
              <w:spacing w:after="120" w:line="285" w:lineRule="auto"/>
              <w:rPr>
                <w:rFonts w:asciiTheme="minorHAnsi" w:hAnsiTheme="minorHAnsi"/>
                <w:b/>
                <w:bCs/>
                <w:kern w:val="28"/>
                <w:sz w:val="20"/>
                <w:szCs w:val="20"/>
              </w:rPr>
            </w:pPr>
            <w:r w:rsidRPr="00376E4F">
              <w:rPr>
                <w:noProof/>
              </w:rPr>
              <mc:AlternateContent>
                <mc:Choice Requires="wps">
                  <w:drawing>
                    <wp:anchor distT="36576" distB="36576" distL="36576" distR="36576" simplePos="0" relativeHeight="251700224" behindDoc="0" locked="0" layoutInCell="1" allowOverlap="1" wp14:anchorId="25800B28" wp14:editId="3C38D247">
                      <wp:simplePos x="0" y="0"/>
                      <wp:positionH relativeFrom="column">
                        <wp:posOffset>467995</wp:posOffset>
                      </wp:positionH>
                      <wp:positionV relativeFrom="paragraph">
                        <wp:posOffset>5448935</wp:posOffset>
                      </wp:positionV>
                      <wp:extent cx="3208020" cy="2038985"/>
                      <wp:effectExtent l="0" t="0" r="11430" b="1841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08020" cy="20389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36.85pt;margin-top:429.05pt;width:252.6pt;height:160.5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" filled="f" stroked="f" insetpen="t">
                      <v:shadow color="#e7dec9"/>
                      <o:lock v:ext="edit" shapetype="t"/>
                      <v:textbox inset="0,0,0,0"/>
                    </v:rect>
                  </w:pict>
                </mc:Fallback>
              </mc:AlternateContent>
            </w:r>
            <w:proofErr w:type="spellStart"/>
            <w:r w:rsidR="0062068F" w:rsidRPr="00376E4F">
              <w:rPr>
                <w:rFonts w:asciiTheme="minorHAnsi" w:hAnsiTheme="minorHAnsi"/>
                <w:b/>
                <w:bCs/>
                <w:sz w:val="20"/>
                <w:szCs w:val="20"/>
              </w:rPr>
              <w:t>Nr.p.k</w:t>
            </w:r>
            <w:proofErr w:type="spellEnd"/>
            <w:r w:rsidR="0062068F" w:rsidRPr="00376E4F">
              <w:rPr>
                <w:rFonts w:asciiTheme="minorHAnsi" w:hAnsiTheme="minorHAnsi"/>
                <w:b/>
                <w:bCs/>
                <w:sz w:val="20"/>
                <w:szCs w:val="20"/>
              </w:rPr>
              <w:t>.</w:t>
            </w:r>
          </w:p>
        </w:tc>
        <w:tc>
          <w:tcPr>
            <w:tcW w:w="632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Augu aizsardzības līdzekļu lietošanas noteikumu ievērošanas pārbaudes</w:t>
            </w:r>
          </w:p>
        </w:tc>
        <w:tc>
          <w:tcPr>
            <w:tcW w:w="66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Skaits</w:t>
            </w:r>
          </w:p>
        </w:tc>
      </w:tr>
      <w:tr w:rsidR="0062068F" w:rsidRPr="00376E4F" w:rsidTr="0062068F">
        <w:trPr>
          <w:trHeight w:val="382"/>
        </w:trPr>
        <w:tc>
          <w:tcPr>
            <w:tcW w:w="683"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c>
          <w:tcPr>
            <w:tcW w:w="6321"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xml:space="preserve">Augu aizsardzības līdzekļu lietošanas pārbaudes </w:t>
            </w:r>
          </w:p>
        </w:tc>
        <w:tc>
          <w:tcPr>
            <w:tcW w:w="667" w:type="dxa"/>
            <w:tcBorders>
              <w:top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171</w:t>
            </w:r>
          </w:p>
        </w:tc>
      </w:tr>
      <w:tr w:rsidR="0062068F" w:rsidRPr="00376E4F" w:rsidTr="0062068F">
        <w:trPr>
          <w:trHeight w:val="711"/>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Pārbaudes par augu aizsardzības līdzekļu jomas obligāto savstarpējās atbilstības pārvaldību prasību</w:t>
            </w:r>
            <w:proofErr w:type="gramStart"/>
            <w:r w:rsidRPr="00376E4F">
              <w:rPr>
                <w:rFonts w:asciiTheme="minorHAnsi" w:hAnsiTheme="minorHAnsi"/>
                <w:sz w:val="20"/>
                <w:szCs w:val="20"/>
              </w:rPr>
              <w:t xml:space="preserve">   </w:t>
            </w:r>
            <w:proofErr w:type="gramEnd"/>
            <w:r w:rsidRPr="00376E4F">
              <w:rPr>
                <w:rFonts w:asciiTheme="minorHAnsi" w:hAnsiTheme="minorHAnsi"/>
                <w:sz w:val="20"/>
                <w:szCs w:val="20"/>
              </w:rPr>
              <w:t>ievērošanu</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495</w:t>
            </w:r>
          </w:p>
        </w:tc>
      </w:tr>
      <w:tr w:rsidR="0062068F" w:rsidRPr="00376E4F" w:rsidTr="0062068F">
        <w:trPr>
          <w:trHeight w:val="453"/>
        </w:trPr>
        <w:tc>
          <w:tcPr>
            <w:tcW w:w="683"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w:t>
            </w:r>
          </w:p>
        </w:tc>
        <w:tc>
          <w:tcPr>
            <w:tcW w:w="6321"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xml:space="preserve">Pārbaudes pie personām, kas kūltūraugus audzē integrēti </w:t>
            </w:r>
          </w:p>
        </w:tc>
        <w:tc>
          <w:tcPr>
            <w:tcW w:w="667" w:type="dxa"/>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307</w:t>
            </w:r>
          </w:p>
        </w:tc>
      </w:tr>
      <w:tr w:rsidR="0062068F" w:rsidRPr="00376E4F" w:rsidTr="0062068F">
        <w:trPr>
          <w:trHeight w:val="748"/>
        </w:trPr>
        <w:tc>
          <w:tcPr>
            <w:tcW w:w="683"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4.</w:t>
            </w:r>
          </w:p>
        </w:tc>
        <w:tc>
          <w:tcPr>
            <w:tcW w:w="6321"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Augu un augu produktu paraugu analīze augu aizsardzības līdzekļu lietošanas kontrolei</w:t>
            </w:r>
          </w:p>
        </w:tc>
        <w:tc>
          <w:tcPr>
            <w:tcW w:w="667" w:type="dxa"/>
            <w:tcBorders>
              <w:bottom w:val="single" w:sz="8" w:space="0" w:color="3891A7"/>
            </w:tcBorders>
            <w:shd w:val="clear" w:color="auto" w:fill="FFFFFF"/>
            <w:tcMar>
              <w:top w:w="58" w:type="dxa"/>
              <w:left w:w="58" w:type="dxa"/>
              <w:bottom w:w="58" w:type="dxa"/>
              <w:right w:w="58" w:type="dxa"/>
            </w:tcMar>
            <w:hideMark/>
          </w:tcPr>
          <w:p w:rsidR="0062068F" w:rsidRPr="00376E4F" w:rsidRDefault="0062068F">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50</w:t>
            </w:r>
          </w:p>
        </w:tc>
      </w:tr>
    </w:tbl>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 xml:space="preserve">2012.gadā veikta 171 pārbaude, no kurām 71 operatīvā pārbaude pie personām, kas nodarbojas ar lauksaimniecību un kas ir potenciālie AAL lietotāji. Operatīvās pārbaudes veiktas, lai konstatētu, vai AAL tiek lietoti ievērojot drošības pasākumus attiecībā uz bišu aizsardzību, kā arī vai tiek pievērsta uzmanība AAL marķējuma tekstiem, kā arī vai netiek pieļautas kļūdas attiecībā uz AAL lietošanas </w:t>
      </w:r>
      <w:proofErr w:type="spellStart"/>
      <w:r w:rsidRPr="00EE354A">
        <w:rPr>
          <w:rFonts w:asciiTheme="minorHAnsi" w:hAnsiTheme="minorHAnsi"/>
        </w:rPr>
        <w:t>optimālākajiem</w:t>
      </w:r>
      <w:proofErr w:type="spellEnd"/>
      <w:r w:rsidRPr="00EE354A">
        <w:rPr>
          <w:rFonts w:asciiTheme="minorHAnsi" w:hAnsiTheme="minorHAnsi"/>
        </w:rPr>
        <w:t xml:space="preserve"> – ieteicamākajiem laikiem. Šajās pārbaudēs konstatēti 3 maznozīmīgi un 5 būtiski pārkāpumi. </w:t>
      </w:r>
    </w:p>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 xml:space="preserve">Pārskata periodā VAAD noņēma 50 augu un augu produktu paraugus, no tiem 30 bija graudaugu un rapša paraugi. Šie 30 paraugi tika ņemti ar mērķi pārbaudīt, vai tiek ievēroti </w:t>
      </w:r>
      <w:proofErr w:type="spellStart"/>
      <w:r w:rsidRPr="00EE354A">
        <w:rPr>
          <w:rFonts w:asciiTheme="minorHAnsi" w:hAnsiTheme="minorHAnsi"/>
        </w:rPr>
        <w:t>glifosātu</w:t>
      </w:r>
      <w:proofErr w:type="spellEnd"/>
      <w:r w:rsidRPr="00EE354A">
        <w:rPr>
          <w:rFonts w:asciiTheme="minorHAnsi" w:hAnsiTheme="minorHAnsi"/>
        </w:rPr>
        <w:t xml:space="preserve"> saturošu AAL lietošanas nosacījumi – vai tiek ievērots nogaidīšanas laiks no AAL lietošanas līdz ražas novākšanai. Tas tiek darīts arī tādēļ, lai gūtu pierādījumus tam, ka, ja AAL tiek lietoti atbilstoši lietošanas instrukcijai, līdz ar to nepārsniedzot AAL noteiktos darbīgās vielas maksimāli pieļaujamos atlieku līmeņus. Arī 2012.gadā visos analizētajos graudaugu un rapšu paraugos </w:t>
      </w:r>
      <w:proofErr w:type="spellStart"/>
      <w:r w:rsidRPr="00EE354A">
        <w:rPr>
          <w:rFonts w:asciiTheme="minorHAnsi" w:hAnsiTheme="minorHAnsi"/>
        </w:rPr>
        <w:t>glifosāta</w:t>
      </w:r>
      <w:proofErr w:type="spellEnd"/>
      <w:r w:rsidRPr="00EE354A">
        <w:rPr>
          <w:rFonts w:asciiTheme="minorHAnsi" w:hAnsiTheme="minorHAnsi"/>
        </w:rPr>
        <w:t xml:space="preserve"> atliekas nepārsniedza Eiropā noteikto maksimāli pieļaujamo atlieku līmeni. </w:t>
      </w:r>
    </w:p>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 xml:space="preserve">Pēdējos gados ir kļuvusi aktuāla AAL – insekticīdu lietošana rapša sējumos tā ziedēšanas laikā. </w:t>
      </w:r>
      <w:r w:rsidRPr="00EE354A">
        <w:rPr>
          <w:rFonts w:asciiTheme="minorHAnsi" w:hAnsiTheme="minorHAnsi"/>
        </w:rPr>
        <w:lastRenderedPageBreak/>
        <w:t xml:space="preserve">Pagājušajā gadā, izskatot 4 sūdzības, kas bija saistītas ar bišu bojā eju, tika ņemti arī bojā gājušo bišu paraugi un nosūtīti laboratoriskai pārbaudei, lai meklētu AAL, kas tika lietotas saimniecības teritorijā, darbīgo vielu atliekas. AAL darbīgo vielu atliekas bišu paraugos netika atrastas. Gandrīz katru gadu tiek saņemtas sūdzības par iespējamiem pārkāpumiem, kas saistīti ar AAL smidzinājuma nokļūšanu blakus esošajā teritorijā, uz blakus augošiem kultūraugiem, kam tie nav paredzēti. Šāda neuzmanība var radīt risku uzkrāties AAL darbīgo vielu atliekām ražā vai pat kultūrauga bojā eju, kas, protams, saistīts, ar materiāliem zaudējumiem un attiecīgi sliktām kaimiņu attiecībām. Sūdzību gadījumos, ņemot augu un augu produktu paraugus, var pierādīt pārkāpēja vainu, kā arī pārliecināties par AAL darbīgo vielu atliekām. </w:t>
      </w:r>
    </w:p>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 xml:space="preserve">Tāpat kā 2011.gadā, arī 2012.gadā VAAD turpināja pārbaudīt AAL jomas savstarpējās atbilstības obligātās pārvaldības prasības pie personām, kas pretendē uz Eiropas Savienības atbalsta maksājumiem. Pagājušajā gadā pārbaudītas 495 saimniecības, kurās netika konstatētas neatbilstības. </w:t>
      </w:r>
    </w:p>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2012.gadā VAAD veica 307 lauksaimniecības produktu integrēto audzētāju pārbaudes.</w:t>
      </w:r>
      <w:proofErr w:type="gramStart"/>
      <w:r w:rsidRPr="00EE354A">
        <w:rPr>
          <w:rFonts w:asciiTheme="minorHAnsi" w:hAnsiTheme="minorHAnsi"/>
        </w:rPr>
        <w:t xml:space="preserve">  </w:t>
      </w:r>
      <w:proofErr w:type="gramEnd"/>
      <w:r w:rsidRPr="00EE354A">
        <w:rPr>
          <w:rFonts w:asciiTheme="minorHAnsi" w:hAnsiTheme="minorHAnsi"/>
        </w:rPr>
        <w:t>Kopumā tika pieņemti  13</w:t>
      </w:r>
      <w:r>
        <w:rPr>
          <w:rFonts w:asciiTheme="minorHAnsi" w:hAnsiTheme="minorHAnsi"/>
        </w:rPr>
        <w:t xml:space="preserve"> </w:t>
      </w:r>
      <w:r w:rsidRPr="00EE354A">
        <w:rPr>
          <w:rFonts w:asciiTheme="minorHAnsi" w:hAnsiTheme="minorHAnsi"/>
        </w:rPr>
        <w:t xml:space="preserve">lēmumi, par to, ka kultūraugi neatbilst integrētās audzēšanas normatīvo aktu prasībām. Galvenās konstatētās neatbilstības: </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13 gadījumos nebija ievērota augu optimālā biezība;</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7 gadījumos kultūraugiem nebija nodrošināta sabalansēta mēslošana;</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6 gadījumos nebija kopti augļu koku un ogulāju vainagi;</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 xml:space="preserve">5 gadījumi nebija veikti agrotehniskie pasākumu; </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4 gadījumos nebija koptas rindstarpas;</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2 gadījumos kultūraugiem</w:t>
      </w:r>
      <w:proofErr w:type="gramStart"/>
      <w:r w:rsidRPr="00EE354A">
        <w:rPr>
          <w:rFonts w:asciiTheme="minorHAnsi" w:hAnsiTheme="minorHAnsi"/>
        </w:rPr>
        <w:t xml:space="preserve">  </w:t>
      </w:r>
      <w:proofErr w:type="gramEnd"/>
      <w:r w:rsidRPr="00EE354A">
        <w:rPr>
          <w:rFonts w:asciiTheme="minorHAnsi" w:hAnsiTheme="minorHAnsi"/>
        </w:rPr>
        <w:t>nebija nodrošināta optimālā  augsnes reakcija;</w:t>
      </w:r>
    </w:p>
    <w:p w:rsidR="00EE354A" w:rsidRPr="00EE354A" w:rsidRDefault="00EE354A" w:rsidP="001234C1">
      <w:pPr>
        <w:pStyle w:val="ListParagraph"/>
        <w:widowControl w:val="0"/>
        <w:numPr>
          <w:ilvl w:val="1"/>
          <w:numId w:val="6"/>
        </w:numPr>
        <w:spacing w:before="120"/>
        <w:ind w:left="426"/>
        <w:jc w:val="both"/>
        <w:rPr>
          <w:rFonts w:asciiTheme="minorHAnsi" w:hAnsiTheme="minorHAnsi"/>
        </w:rPr>
      </w:pPr>
      <w:r w:rsidRPr="00EE354A">
        <w:rPr>
          <w:rFonts w:asciiTheme="minorHAnsi" w:hAnsiTheme="minorHAnsi"/>
        </w:rPr>
        <w:t>3 gadījumos audzētājs nebija sekojis informācijai par kaitīgo organismu attīstību.</w:t>
      </w:r>
    </w:p>
    <w:p w:rsidR="00CC371C" w:rsidRDefault="00CC371C" w:rsidP="00A15A58">
      <w:pPr>
        <w:jc w:val="both"/>
        <w:rPr>
          <w:rFonts w:asciiTheme="minorHAnsi" w:hAnsiTheme="minorHAnsi"/>
          <w:sz w:val="28"/>
        </w:rPr>
      </w:pPr>
    </w:p>
    <w:p w:rsidR="00EE354A" w:rsidRPr="00EE354A" w:rsidRDefault="00EE354A" w:rsidP="00EE354A">
      <w:pPr>
        <w:widowControl w:val="0"/>
        <w:shd w:val="clear" w:color="auto" w:fill="DAEEF3" w:themeFill="accent5" w:themeFillTint="33"/>
        <w:spacing w:before="120"/>
        <w:jc w:val="both"/>
        <w:rPr>
          <w:rFonts w:asciiTheme="minorHAnsi" w:hAnsiTheme="minorHAnsi"/>
          <w:sz w:val="28"/>
        </w:rPr>
      </w:pPr>
      <w:r w:rsidRPr="00EE354A">
        <w:rPr>
          <w:rFonts w:asciiTheme="minorHAnsi" w:hAnsiTheme="minorHAnsi"/>
          <w:sz w:val="28"/>
        </w:rPr>
        <w:t> AAL lietošanas būtiskie pārkāpumi, par kuriem ierosinātas administratīvās pārkāpumu lietas</w:t>
      </w:r>
    </w:p>
    <w:p w:rsidR="00EE354A" w:rsidRDefault="007D1896" w:rsidP="00EE354A">
      <w:r>
        <w:rPr>
          <w:noProof/>
        </w:rPr>
        <mc:AlternateContent>
          <mc:Choice Requires="wps">
            <w:drawing>
              <wp:anchor distT="36576" distB="36576" distL="36576" distR="36576" simplePos="0" relativeHeight="251702272" behindDoc="0" locked="0" layoutInCell="1" allowOverlap="1" wp14:anchorId="17DA0FD6" wp14:editId="239E50CC">
                <wp:simplePos x="0" y="0"/>
                <wp:positionH relativeFrom="column">
                  <wp:posOffset>467995</wp:posOffset>
                </wp:positionH>
                <wp:positionV relativeFrom="paragraph">
                  <wp:posOffset>876935</wp:posOffset>
                </wp:positionV>
                <wp:extent cx="3246755" cy="1985010"/>
                <wp:effectExtent l="0" t="0" r="10795" b="1524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46755" cy="19850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36.85pt;margin-top:69.05pt;width:255.65pt;height:156.3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0u04g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" filled="f" stroked="f" insetpen="t">
                <v:shadow color="#e7dec9"/>
                <o:lock v:ext="edit" shapetype="t"/>
                <v:textbox inset="0,0,0,0"/>
              </v:rect>
            </w:pict>
          </mc:Fallback>
        </mc:AlternateContent>
      </w:r>
    </w:p>
    <w:tbl>
      <w:tblPr>
        <w:tblW w:w="7876" w:type="dxa"/>
        <w:tblCellMar>
          <w:left w:w="0" w:type="dxa"/>
          <w:right w:w="0" w:type="dxa"/>
        </w:tblCellMar>
        <w:tblLook w:val="04A0" w:firstRow="1" w:lastRow="0" w:firstColumn="1" w:lastColumn="0" w:noHBand="0" w:noVBand="1"/>
      </w:tblPr>
      <w:tblGrid>
        <w:gridCol w:w="683"/>
        <w:gridCol w:w="6463"/>
        <w:gridCol w:w="730"/>
      </w:tblGrid>
      <w:tr w:rsidR="00EE354A" w:rsidRPr="00376E4F" w:rsidTr="00EE354A">
        <w:trPr>
          <w:trHeight w:val="622"/>
        </w:trPr>
        <w:tc>
          <w:tcPr>
            <w:tcW w:w="6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b/>
                <w:bCs/>
                <w:kern w:val="28"/>
                <w:sz w:val="20"/>
                <w:szCs w:val="20"/>
              </w:rPr>
            </w:pPr>
            <w:proofErr w:type="spellStart"/>
            <w:r w:rsidRPr="00376E4F">
              <w:rPr>
                <w:rFonts w:asciiTheme="minorHAnsi" w:hAnsiTheme="minorHAnsi"/>
                <w:b/>
                <w:bCs/>
                <w:sz w:val="20"/>
                <w:szCs w:val="20"/>
              </w:rPr>
              <w:t>Nr.p.k</w:t>
            </w:r>
            <w:proofErr w:type="spellEnd"/>
            <w:r w:rsidRPr="00376E4F">
              <w:rPr>
                <w:rFonts w:asciiTheme="minorHAnsi" w:hAnsiTheme="minorHAnsi"/>
                <w:b/>
                <w:bCs/>
                <w:sz w:val="20"/>
                <w:szCs w:val="20"/>
              </w:rPr>
              <w:t>.</w:t>
            </w:r>
          </w:p>
        </w:tc>
        <w:tc>
          <w:tcPr>
            <w:tcW w:w="646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Pārkāpuma būtība</w:t>
            </w:r>
          </w:p>
        </w:tc>
        <w:tc>
          <w:tcPr>
            <w:tcW w:w="730"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Skaits</w:t>
            </w:r>
          </w:p>
        </w:tc>
      </w:tr>
      <w:tr w:rsidR="00EE354A" w:rsidRPr="00376E4F" w:rsidTr="00EE354A">
        <w:trPr>
          <w:trHeight w:val="333"/>
        </w:trPr>
        <w:tc>
          <w:tcPr>
            <w:tcW w:w="683" w:type="dxa"/>
            <w:tcBorders>
              <w:top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c>
          <w:tcPr>
            <w:tcW w:w="6463" w:type="dxa"/>
            <w:tcBorders>
              <w:top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AAL (insekticīds</w:t>
            </w:r>
            <w:proofErr w:type="gramStart"/>
            <w:r w:rsidRPr="00376E4F">
              <w:rPr>
                <w:rFonts w:asciiTheme="minorHAnsi" w:hAnsiTheme="minorHAnsi"/>
                <w:sz w:val="20"/>
                <w:szCs w:val="20"/>
              </w:rPr>
              <w:t xml:space="preserve"> )</w:t>
            </w:r>
            <w:proofErr w:type="gramEnd"/>
            <w:r w:rsidRPr="00376E4F">
              <w:rPr>
                <w:rFonts w:asciiTheme="minorHAnsi" w:hAnsiTheme="minorHAnsi"/>
                <w:sz w:val="20"/>
                <w:szCs w:val="20"/>
              </w:rPr>
              <w:t xml:space="preserve"> lietots dienas laikā pa ziedošām nezālēm/kultūraugiem</w:t>
            </w:r>
          </w:p>
        </w:tc>
        <w:tc>
          <w:tcPr>
            <w:tcW w:w="730" w:type="dxa"/>
            <w:tcBorders>
              <w:top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w:t>
            </w:r>
          </w:p>
        </w:tc>
      </w:tr>
      <w:tr w:rsidR="00EE354A" w:rsidRPr="00376E4F" w:rsidTr="00EE354A">
        <w:trPr>
          <w:trHeight w:val="351"/>
        </w:trPr>
        <w:tc>
          <w:tcPr>
            <w:tcW w:w="683"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c>
          <w:tcPr>
            <w:tcW w:w="6463"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AAL lietoti tuvāk par 10 m no ūdenskrātuvēm</w:t>
            </w:r>
          </w:p>
        </w:tc>
        <w:tc>
          <w:tcPr>
            <w:tcW w:w="730"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r w:rsidR="00EE354A" w:rsidRPr="00376E4F" w:rsidTr="00EE354A">
        <w:trPr>
          <w:trHeight w:val="553"/>
        </w:trPr>
        <w:tc>
          <w:tcPr>
            <w:tcW w:w="683"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3.</w:t>
            </w:r>
          </w:p>
        </w:tc>
        <w:tc>
          <w:tcPr>
            <w:tcW w:w="6463"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AAL nereģistrēts lietojums (AAL lietots kultūraugiem, kuriem tas nav paredzēts, AAL šķīdums nonācis uz blakus kultūraugiem)</w:t>
            </w:r>
          </w:p>
        </w:tc>
        <w:tc>
          <w:tcPr>
            <w:tcW w:w="730" w:type="dxa"/>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1</w:t>
            </w:r>
          </w:p>
        </w:tc>
      </w:tr>
      <w:tr w:rsidR="00EE354A" w:rsidRPr="00376E4F" w:rsidTr="00EE354A">
        <w:trPr>
          <w:trHeight w:val="167"/>
        </w:trPr>
        <w:tc>
          <w:tcPr>
            <w:tcW w:w="683" w:type="dxa"/>
            <w:tcBorders>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4.</w:t>
            </w:r>
          </w:p>
        </w:tc>
        <w:tc>
          <w:tcPr>
            <w:tcW w:w="6463" w:type="dxa"/>
            <w:tcBorders>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Nereģistrēts lietojums (AAL lietots kultūraugiem, kuriem tas nav paredzēts)</w:t>
            </w:r>
          </w:p>
        </w:tc>
        <w:tc>
          <w:tcPr>
            <w:tcW w:w="730" w:type="dxa"/>
            <w:tcBorders>
              <w:bottom w:val="single" w:sz="8" w:space="0" w:color="3891A7"/>
            </w:tcBorders>
            <w:shd w:val="clear" w:color="auto" w:fill="FFFFFF"/>
            <w:tcMar>
              <w:top w:w="58" w:type="dxa"/>
              <w:left w:w="58" w:type="dxa"/>
              <w:bottom w:w="58" w:type="dxa"/>
              <w:right w:w="58" w:type="dxa"/>
            </w:tcMar>
            <w:hideMark/>
          </w:tcPr>
          <w:p w:rsidR="00EE354A" w:rsidRPr="00376E4F" w:rsidRDefault="00EE354A">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2</w:t>
            </w:r>
          </w:p>
        </w:tc>
      </w:tr>
    </w:tbl>
    <w:p w:rsidR="00EE354A" w:rsidRPr="00EE354A" w:rsidRDefault="00EE354A" w:rsidP="00EE354A">
      <w:pPr>
        <w:widowControl w:val="0"/>
        <w:spacing w:before="120"/>
        <w:jc w:val="both"/>
        <w:rPr>
          <w:rFonts w:asciiTheme="minorHAnsi" w:hAnsiTheme="minorHAnsi"/>
        </w:rPr>
      </w:pPr>
      <w:r w:rsidRPr="00EE354A">
        <w:rPr>
          <w:rFonts w:asciiTheme="minorHAnsi" w:hAnsiTheme="minorHAnsi"/>
        </w:rPr>
        <w:t xml:space="preserve">Kopumā AAL uzraudzības jomā ierosinātas 17 administratīvās pārkāpumu lietas, par kurām piešķirts naudas sods </w:t>
      </w:r>
      <w:proofErr w:type="gramStart"/>
      <w:r w:rsidRPr="00EE354A">
        <w:rPr>
          <w:rFonts w:asciiTheme="minorHAnsi" w:hAnsiTheme="minorHAnsi"/>
        </w:rPr>
        <w:t>1030 Ls</w:t>
      </w:r>
      <w:proofErr w:type="gramEnd"/>
      <w:r w:rsidRPr="00EE354A">
        <w:rPr>
          <w:rFonts w:asciiTheme="minorHAnsi" w:hAnsiTheme="minorHAnsi"/>
        </w:rPr>
        <w:t xml:space="preserve"> apmērā, no kurām divas administratīvās pārkāpumu lietas pierādījumu trūkuma dēļ ir izbeigtas.</w:t>
      </w:r>
    </w:p>
    <w:p w:rsidR="00EE354A" w:rsidRDefault="00EE354A" w:rsidP="00EE354A">
      <w:pPr>
        <w:widowControl w:val="0"/>
      </w:pPr>
      <w:r>
        <w:t> </w:t>
      </w:r>
    </w:p>
    <w:p w:rsidR="00EE354A" w:rsidRPr="00555E71" w:rsidRDefault="00EE354A" w:rsidP="00EC3280">
      <w:pPr>
        <w:pStyle w:val="Heading3"/>
      </w:pPr>
      <w:bookmarkStart w:id="18" w:name="_Toc364414722"/>
      <w:bookmarkStart w:id="19" w:name="_Toc364414864"/>
      <w:r w:rsidRPr="00555E71">
        <w:lastRenderedPageBreak/>
        <w:t>4.</w:t>
      </w:r>
      <w:r w:rsidR="00CC371C">
        <w:t>1.</w:t>
      </w:r>
      <w:r w:rsidRPr="00555E71">
        <w:t xml:space="preserve">2. Kultūraugiem kaitīgo </w:t>
      </w:r>
      <w:proofErr w:type="spellStart"/>
      <w:r w:rsidRPr="00555E71">
        <w:t>nekarantīnas</w:t>
      </w:r>
      <w:proofErr w:type="spellEnd"/>
      <w:r w:rsidRPr="00555E71">
        <w:t xml:space="preserve"> organismu monitorings un prognozēšana</w:t>
      </w:r>
      <w:bookmarkEnd w:id="18"/>
      <w:bookmarkEnd w:id="19"/>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Lai konstatētu lauksaimniecības kultūraugu sējumos un stādījumos sastopamās </w:t>
      </w:r>
      <w:proofErr w:type="spellStart"/>
      <w:r w:rsidRPr="00077677">
        <w:rPr>
          <w:rFonts w:asciiTheme="minorHAnsi" w:hAnsiTheme="minorHAnsi"/>
        </w:rPr>
        <w:t>nekarantīnas</w:t>
      </w:r>
      <w:proofErr w:type="spellEnd"/>
      <w:r w:rsidRPr="00077677">
        <w:rPr>
          <w:rFonts w:asciiTheme="minorHAnsi" w:hAnsiTheme="minorHAnsi"/>
        </w:rPr>
        <w:t xml:space="preserve"> slimības un kaitēkļus, lai informētu sabiedrību par augu slimību un kaitēkļu sastopamību un to izplatības tendencēm, VAAD veic novērojumus</w:t>
      </w:r>
      <w:proofErr w:type="gramStart"/>
      <w:r w:rsidRPr="00077677">
        <w:rPr>
          <w:rFonts w:asciiTheme="minorHAnsi" w:hAnsiTheme="minorHAnsi"/>
        </w:rPr>
        <w:t xml:space="preserve">  </w:t>
      </w:r>
      <w:proofErr w:type="gramEnd"/>
      <w:r w:rsidRPr="00077677">
        <w:rPr>
          <w:rFonts w:asciiTheme="minorHAnsi" w:hAnsiTheme="minorHAnsi"/>
        </w:rPr>
        <w:t xml:space="preserve">kultūraugu sējumos un stādījumos. </w:t>
      </w:r>
    </w:p>
    <w:p w:rsidR="00077677" w:rsidRDefault="00077677" w:rsidP="00077677">
      <w:pPr>
        <w:widowControl w:val="0"/>
      </w:pPr>
      <w:r>
        <w:t> </w:t>
      </w:r>
    </w:p>
    <w:p w:rsidR="00077677" w:rsidRDefault="00077677" w:rsidP="00077677">
      <w:pPr>
        <w:widowControl w:val="0"/>
        <w:shd w:val="clear" w:color="auto" w:fill="EAF1DD" w:themeFill="accent3" w:themeFillTint="33"/>
        <w:spacing w:before="120"/>
        <w:jc w:val="both"/>
        <w:rPr>
          <w:bCs/>
          <w:color w:val="555F00"/>
        </w:rPr>
      </w:pPr>
      <w:r w:rsidRPr="00077677">
        <w:rPr>
          <w:rFonts w:asciiTheme="minorHAnsi" w:hAnsiTheme="minorHAnsi"/>
          <w:sz w:val="28"/>
        </w:rPr>
        <w:t xml:space="preserve">Izmaiņas </w:t>
      </w:r>
      <w:r w:rsidR="00CC371C">
        <w:rPr>
          <w:rFonts w:asciiTheme="minorHAnsi" w:hAnsiTheme="minorHAnsi"/>
          <w:sz w:val="28"/>
        </w:rPr>
        <w:t>2012.</w:t>
      </w:r>
      <w:r w:rsidRPr="00077677">
        <w:rPr>
          <w:rFonts w:asciiTheme="minorHAnsi" w:hAnsiTheme="minorHAnsi"/>
          <w:sz w:val="28"/>
        </w:rPr>
        <w:t>gadā</w:t>
      </w:r>
    </w:p>
    <w:p w:rsidR="00077677" w:rsidRDefault="00077677" w:rsidP="00077677">
      <w:pPr>
        <w:widowControl w:val="0"/>
        <w:rPr>
          <w:rFonts w:ascii="Calibri" w:hAnsi="Calibri"/>
          <w:color w:val="000000"/>
          <w:sz w:val="20"/>
          <w:szCs w:val="20"/>
        </w:rPr>
      </w:pPr>
      <w:r>
        <w:t>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Ir papildināta</w:t>
      </w:r>
      <w:r w:rsidR="00A15A58">
        <w:rPr>
          <w:rFonts w:asciiTheme="minorHAnsi" w:hAnsiTheme="minorHAnsi"/>
        </w:rPr>
        <w:t>s</w:t>
      </w:r>
      <w:r w:rsidRPr="00077677">
        <w:rPr>
          <w:rFonts w:asciiTheme="minorHAnsi" w:hAnsiTheme="minorHAnsi"/>
        </w:rPr>
        <w:t xml:space="preserve"> un uzlabota</w:t>
      </w:r>
      <w:r w:rsidR="00A15A58">
        <w:rPr>
          <w:rFonts w:asciiTheme="minorHAnsi" w:hAnsiTheme="minorHAnsi"/>
        </w:rPr>
        <w:t>s</w:t>
      </w:r>
      <w:r w:rsidRPr="00077677">
        <w:rPr>
          <w:rFonts w:asciiTheme="minorHAnsi" w:hAnsiTheme="minorHAnsi"/>
        </w:rPr>
        <w:t xml:space="preserve"> kaitīgo organismu novērojumu un uzskaites metodika</w:t>
      </w:r>
      <w:r w:rsidR="00A15A58">
        <w:rPr>
          <w:rFonts w:asciiTheme="minorHAnsi" w:hAnsiTheme="minorHAnsi"/>
        </w:rPr>
        <w:t>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Sagatavota nozīmīgāko kultūraugu fenoloģijas datu bāze, pamatojoties uz uzkrātajiem novērojumu datiem no 2008.-2012.gadam.</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Īstenoti kultūraugiem kaitīgo organismu monitoringa jomas galvenie uzdevumi - veikta kaitīgo organismu uzskaite, diagnosticēšana, izplatīšanās iespēju prognozēšana un iegūtā informācija izmantota sabiedrības informēšanai par kaitīgo organismu izplatību un ierobežošanas iespējām.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2012. gadā ir papildināta un uzlabota kaitīgo organismu n</w:t>
      </w:r>
      <w:r w:rsidR="00A15A58">
        <w:rPr>
          <w:rFonts w:asciiTheme="minorHAnsi" w:hAnsiTheme="minorHAnsi"/>
        </w:rPr>
        <w:t>ovērojumu un uzskaites metodika.</w:t>
      </w:r>
    </w:p>
    <w:p w:rsidR="00077677" w:rsidRPr="00077677" w:rsidRDefault="00077677" w:rsidP="00077677">
      <w:pPr>
        <w:widowControl w:val="0"/>
        <w:shd w:val="clear" w:color="auto" w:fill="EAF1DD" w:themeFill="accent3" w:themeFillTint="33"/>
        <w:spacing w:before="120"/>
        <w:jc w:val="both"/>
        <w:rPr>
          <w:rFonts w:asciiTheme="minorHAnsi" w:hAnsiTheme="minorHAnsi"/>
          <w:sz w:val="28"/>
        </w:rPr>
      </w:pPr>
      <w:r w:rsidRPr="00077677">
        <w:rPr>
          <w:rFonts w:asciiTheme="minorHAnsi" w:hAnsiTheme="minorHAnsi"/>
          <w:sz w:val="28"/>
        </w:rPr>
        <w:t>Sniegtie pakalpojumi/monitoringa rezultāti</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2012.gadā:</w:t>
      </w:r>
    </w:p>
    <w:p w:rsidR="00077677" w:rsidRPr="00077677" w:rsidRDefault="00077677" w:rsidP="001234C1">
      <w:pPr>
        <w:pStyle w:val="ListParagraph"/>
        <w:widowControl w:val="0"/>
        <w:numPr>
          <w:ilvl w:val="1"/>
          <w:numId w:val="6"/>
        </w:numPr>
        <w:spacing w:before="120"/>
        <w:ind w:left="426"/>
        <w:jc w:val="both"/>
        <w:rPr>
          <w:rFonts w:asciiTheme="minorHAnsi" w:hAnsiTheme="minorHAnsi"/>
        </w:rPr>
      </w:pPr>
      <w:r w:rsidRPr="00077677">
        <w:rPr>
          <w:rFonts w:asciiTheme="minorHAnsi" w:hAnsiTheme="minorHAnsi"/>
        </w:rPr>
        <w:t>kaitīgo organismu konstatēšanai novērojumos iekļauti 35 kultūraugi;</w:t>
      </w:r>
    </w:p>
    <w:p w:rsidR="00077677" w:rsidRPr="00077677" w:rsidRDefault="00077677" w:rsidP="001234C1">
      <w:pPr>
        <w:pStyle w:val="ListParagraph"/>
        <w:widowControl w:val="0"/>
        <w:numPr>
          <w:ilvl w:val="1"/>
          <w:numId w:val="6"/>
        </w:numPr>
        <w:spacing w:before="120"/>
        <w:ind w:left="426"/>
        <w:jc w:val="both"/>
        <w:rPr>
          <w:rFonts w:asciiTheme="minorHAnsi" w:hAnsiTheme="minorHAnsi"/>
        </w:rPr>
      </w:pPr>
      <w:r w:rsidRPr="00077677">
        <w:rPr>
          <w:rFonts w:asciiTheme="minorHAnsi" w:hAnsiTheme="minorHAnsi"/>
        </w:rPr>
        <w:t>visā Latvijas teritorijā pavisam veikti 3153 novērojumi;</w:t>
      </w:r>
    </w:p>
    <w:p w:rsidR="00077677" w:rsidRPr="00077677" w:rsidRDefault="00077677" w:rsidP="001234C1">
      <w:pPr>
        <w:pStyle w:val="ListParagraph"/>
        <w:widowControl w:val="0"/>
        <w:numPr>
          <w:ilvl w:val="1"/>
          <w:numId w:val="6"/>
        </w:numPr>
        <w:spacing w:before="120"/>
        <w:ind w:left="426"/>
        <w:jc w:val="both"/>
        <w:rPr>
          <w:rFonts w:asciiTheme="minorHAnsi" w:hAnsiTheme="minorHAnsi"/>
        </w:rPr>
      </w:pPr>
      <w:r w:rsidRPr="00077677">
        <w:rPr>
          <w:rFonts w:asciiTheme="minorHAnsi" w:hAnsiTheme="minorHAnsi"/>
        </w:rPr>
        <w:t xml:space="preserve">novērojumos konstatētas 178 kaitīgo organismu sugas vai to grupas (piemēram, tripši, laputis, spradži, sakņu puves </w:t>
      </w:r>
      <w:proofErr w:type="spellStart"/>
      <w:r w:rsidRPr="00077677">
        <w:rPr>
          <w:rFonts w:asciiTheme="minorHAnsi" w:hAnsiTheme="minorHAnsi"/>
        </w:rPr>
        <w:t>utml</w:t>
      </w:r>
      <w:proofErr w:type="spellEnd"/>
      <w:r w:rsidRPr="00077677">
        <w:rPr>
          <w:rFonts w:asciiTheme="minorHAnsi" w:hAnsiTheme="minorHAnsi"/>
        </w:rPr>
        <w:t>.), t.sk. kaitēkļi - 70, slimības – 108;</w:t>
      </w:r>
    </w:p>
    <w:p w:rsidR="00077677" w:rsidRPr="00077677" w:rsidRDefault="00077677" w:rsidP="001234C1">
      <w:pPr>
        <w:pStyle w:val="ListParagraph"/>
        <w:widowControl w:val="0"/>
        <w:numPr>
          <w:ilvl w:val="1"/>
          <w:numId w:val="6"/>
        </w:numPr>
        <w:spacing w:before="120"/>
        <w:ind w:left="426"/>
        <w:jc w:val="both"/>
        <w:rPr>
          <w:rFonts w:asciiTheme="minorHAnsi" w:hAnsiTheme="minorHAnsi"/>
        </w:rPr>
      </w:pPr>
      <w:proofErr w:type="spellStart"/>
      <w:r w:rsidRPr="00077677">
        <w:rPr>
          <w:rFonts w:asciiTheme="minorHAnsi" w:hAnsiTheme="minorHAnsi"/>
        </w:rPr>
        <w:t>daudzveidīgākais</w:t>
      </w:r>
      <w:proofErr w:type="spellEnd"/>
      <w:r w:rsidRPr="00077677">
        <w:rPr>
          <w:rFonts w:asciiTheme="minorHAnsi" w:hAnsiTheme="minorHAnsi"/>
        </w:rPr>
        <w:t xml:space="preserve"> kaitēkļu sugu vai grupu skaits – 17 – bijis sastopams ābeļu stādījumos;</w:t>
      </w:r>
    </w:p>
    <w:p w:rsidR="00077677" w:rsidRPr="00077677" w:rsidRDefault="00077677" w:rsidP="001234C1">
      <w:pPr>
        <w:pStyle w:val="ListParagraph"/>
        <w:widowControl w:val="0"/>
        <w:numPr>
          <w:ilvl w:val="1"/>
          <w:numId w:val="6"/>
        </w:numPr>
        <w:spacing w:before="120"/>
        <w:ind w:left="426"/>
        <w:jc w:val="both"/>
        <w:rPr>
          <w:rFonts w:asciiTheme="minorHAnsi" w:hAnsiTheme="minorHAnsi"/>
        </w:rPr>
      </w:pPr>
      <w:proofErr w:type="spellStart"/>
      <w:r w:rsidRPr="00077677">
        <w:rPr>
          <w:rFonts w:asciiTheme="minorHAnsi" w:hAnsiTheme="minorHAnsi"/>
        </w:rPr>
        <w:t>daudzveidīgākais</w:t>
      </w:r>
      <w:proofErr w:type="spellEnd"/>
      <w:r w:rsidRPr="00077677">
        <w:rPr>
          <w:rFonts w:asciiTheme="minorHAnsi" w:hAnsiTheme="minorHAnsi"/>
        </w:rPr>
        <w:t xml:space="preserve"> slimību ierosinātāju vai ierosinātāju grupu skaits – 15 – bijis sastopams rudzu sējumos (tikai nedaudz mazāka daudzveidība konstatēta ziemas un vasaras kviešos un kartupeļos – šo kultūraugu laukos slimības izraisījuši 12 dažādu sugu un grupu ierosinātāji).</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2011.gada rudenī augsnes virskārta lielākajā Latvijas teritorijā paspēja vispirms sasalt, un tikai pēc tam to noklāja sniegs. Tas labvēlīgi ietekmēja sējumu ziemošanu. Veicot ziemāju (ziemāju graudaugi un ziemas rapsis) sējumu izvērtēšanu 2012.gada pavasarī pēc sniega nokušanas, tika konstatēts, ka pārziemošanas process lielākajā daļā sējumu ir bijis labs.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Graudzāļu miltrasa 2012.gada veģetācijas periodā konstatēta 70% no novērotajiem ziemas kviešu laukiem, tāpat kā pagājušajā sezonā. Lai gan infekcijas attīstības sākums novērots samērā agri – stiebrošanas sākumā, nozīmīga slimības izplatība (virs 30%) un slimības attīstības pakāpe (ap 5% un vairāk) veģetācijas periodā konstatēta retāk kā iepriekšējā sezonā. Savukārt vasaras kviešu sējumos miltrasas infekcija bija sastopama apmēram pusē no novērotajiem sējumiem (2011.gadā - 36%) un nozīmīgu slimības attīstības pakāpi nesasniedza nevienā no novērotajiem laukiem. Rudzu sējumos miltrasa tika konstatēta 60% novēroto sējumu, vairumā gadījumu ar nelielu izplatību un attīstības pakāpi. Ziemas miežu sējumos miltrasa parādījās cerošanas beigās un atsevišķos laukos ziedēšanas laikā sasniedza nozīmīgu izplatību un slimības attīstības pakāpi. Miltrasa bija sastopama vairumā novēroto tritikāles sējumu, taču nozīmīgu izplatību un attīstības pakāpi sasniedza tikai vienā novērotajā laukā. Vasaras miežos miltrasa bija sastopama 30% gadījumu. Auzu sējumos, kā ierasts, miltrasa parādījās piengatavības laikā.</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lastRenderedPageBreak/>
        <w:t xml:space="preserve">Kviešu lapu </w:t>
      </w:r>
      <w:proofErr w:type="spellStart"/>
      <w:r w:rsidRPr="00077677">
        <w:rPr>
          <w:rFonts w:asciiTheme="minorHAnsi" w:hAnsiTheme="minorHAnsi"/>
        </w:rPr>
        <w:t>pelēkplankumainība</w:t>
      </w:r>
      <w:proofErr w:type="spellEnd"/>
      <w:r w:rsidRPr="00077677">
        <w:rPr>
          <w:rFonts w:asciiTheme="minorHAnsi" w:hAnsiTheme="minorHAnsi"/>
        </w:rPr>
        <w:t xml:space="preserve"> konstatēta 85% no novērotajiem ziemas kviešu un 90% vasaras kviešu sējumiem. Salīdzinājumā ar iepriekšējo veģetācijas periodu tās izplatība inficētajos ziemas kviešu laukos bija lielāka – 2-100% (2011.gadā līdz 60%) un vairākos laukos (sākot ar piengatavības vidus fāzi) sasniedza nozīmīgu attīstības pakāpi. Līdzīga situācija bija vērojama arī vasaras kviešu sējumos. </w:t>
      </w:r>
      <w:proofErr w:type="spellStart"/>
      <w:r w:rsidRPr="00077677">
        <w:rPr>
          <w:rFonts w:asciiTheme="minorHAnsi" w:hAnsiTheme="minorHAnsi"/>
        </w:rPr>
        <w:t>Pelēkplankumainība</w:t>
      </w:r>
      <w:proofErr w:type="spellEnd"/>
      <w:r w:rsidRPr="00077677">
        <w:rPr>
          <w:rFonts w:asciiTheme="minorHAnsi" w:hAnsiTheme="minorHAnsi"/>
        </w:rPr>
        <w:t xml:space="preserve"> novērota vairumā tritikāles sējumu, taču ar mazāku izplatību un attīstības pakāpi kā kviešos.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Kviešu lapu </w:t>
      </w:r>
      <w:proofErr w:type="spellStart"/>
      <w:r w:rsidRPr="00077677">
        <w:rPr>
          <w:rFonts w:asciiTheme="minorHAnsi" w:hAnsiTheme="minorHAnsi"/>
        </w:rPr>
        <w:t>dzeltenplankumainība</w:t>
      </w:r>
      <w:proofErr w:type="spellEnd"/>
      <w:r w:rsidRPr="00077677">
        <w:rPr>
          <w:rFonts w:asciiTheme="minorHAnsi" w:hAnsiTheme="minorHAnsi"/>
        </w:rPr>
        <w:t xml:space="preserve"> ziemas kviešu sējumos bija sastopama 65% gadījumu. Ziemas kviešus tā sāka inficēt stiebrošanas sākumā (2011.gadā - </w:t>
      </w:r>
      <w:proofErr w:type="spellStart"/>
      <w:r w:rsidRPr="00077677">
        <w:rPr>
          <w:rFonts w:asciiTheme="minorHAnsi" w:hAnsiTheme="minorHAnsi"/>
        </w:rPr>
        <w:t>karoglapas</w:t>
      </w:r>
      <w:proofErr w:type="spellEnd"/>
      <w:r w:rsidRPr="00077677">
        <w:rPr>
          <w:rFonts w:asciiTheme="minorHAnsi" w:hAnsiTheme="minorHAnsi"/>
        </w:rPr>
        <w:t xml:space="preserve"> veidošanās laikā), tātad agrāk kā iepriekšējā gadā, bet bija mazāk postīga, jo nevienā no novērojumos iekļautajiem laukiem netika konstatēta nozīmīga vidējā slimības attīstības pakāpe. Vasaras kviešu sējumos šī slimība atrasta 75% no novērotajiem laukiem. Pirmās slimības pazīmes parādījās pirms cerošanas un tās laikā, izplatība novērotajos laukos bija robežās no 2 - 50%, nozīmīga slimības attīstības pakāpe konstatēta retos gadījumos. </w:t>
      </w:r>
      <w:proofErr w:type="spellStart"/>
      <w:r w:rsidRPr="00077677">
        <w:rPr>
          <w:rFonts w:asciiTheme="minorHAnsi" w:hAnsiTheme="minorHAnsi"/>
        </w:rPr>
        <w:t>Dzeltenplankumainība</w:t>
      </w:r>
      <w:proofErr w:type="spellEnd"/>
      <w:r w:rsidRPr="00077677">
        <w:rPr>
          <w:rFonts w:asciiTheme="minorHAnsi" w:hAnsiTheme="minorHAnsi"/>
        </w:rPr>
        <w:t xml:space="preserve"> tika konstatēta pusē no novērotajiem tritikāles sējumiem, un dažos no tiem piengatavības beigās konstatēta nozīmīga vidējā slimības attīstības pakāpe.</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Stiebrzāļu </w:t>
      </w:r>
      <w:proofErr w:type="spellStart"/>
      <w:r w:rsidRPr="00077677">
        <w:rPr>
          <w:rFonts w:asciiTheme="minorHAnsi" w:hAnsiTheme="minorHAnsi"/>
        </w:rPr>
        <w:t>gredzenplankumainība</w:t>
      </w:r>
      <w:proofErr w:type="spellEnd"/>
      <w:r w:rsidRPr="00077677">
        <w:rPr>
          <w:rFonts w:asciiTheme="minorHAnsi" w:hAnsiTheme="minorHAnsi"/>
        </w:rPr>
        <w:t xml:space="preserve"> ziemas miežu sējumos bija sastopama bieži, taču nozīmīgu slimības attīstības pakāpi nesasniedza, savukārt vasaras miežu sējumos šī slimība bija reti sastopama (20% no novērotajiem laukiem). Rudzu sējumos, stiebrzāļu </w:t>
      </w:r>
      <w:proofErr w:type="spellStart"/>
      <w:r w:rsidRPr="00077677">
        <w:rPr>
          <w:rFonts w:asciiTheme="minorHAnsi" w:hAnsiTheme="minorHAnsi"/>
        </w:rPr>
        <w:t>gredzenplankumainība</w:t>
      </w:r>
      <w:proofErr w:type="spellEnd"/>
      <w:r w:rsidRPr="00077677">
        <w:rPr>
          <w:rFonts w:asciiTheme="minorHAnsi" w:hAnsiTheme="minorHAnsi"/>
        </w:rPr>
        <w:t xml:space="preserve"> bija sastopama apmēram pusē sējumu un nozīmīgu slimības attīstības pakāpi novērotajos laukos sasniedza atsevišķos gadījumos. Tritikāles sējumos šī slimība ir sastopama, taču parasti ar nelielu izplatību.</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Miežu lapu </w:t>
      </w:r>
      <w:proofErr w:type="spellStart"/>
      <w:r w:rsidRPr="00077677">
        <w:rPr>
          <w:rFonts w:asciiTheme="minorHAnsi" w:hAnsiTheme="minorHAnsi"/>
        </w:rPr>
        <w:t>tīklplankumainības</w:t>
      </w:r>
      <w:proofErr w:type="spellEnd"/>
      <w:r w:rsidRPr="00077677">
        <w:rPr>
          <w:rFonts w:asciiTheme="minorHAnsi" w:hAnsiTheme="minorHAnsi"/>
        </w:rPr>
        <w:t xml:space="preserve"> pirmās pazīmes vasaras miežu laukos konstatētas agrās miežu attīstības fāzēs (sākot no vienas lapas stadijas) un tā bija sastopama 70% no novērotajiem laukiem (2011.gadā – visos laukos), izplatība 2012. gada veģetācijas periodā nevienā gadījumā nesasniedza 100%, kā tas bija pagājušajā sezonā, taču vidējā attīstības pakāpe piengatavības laikā vairākos laukos sasniedza postīguma līmeni.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Vārpu plēkšņu plankumainība 2012.gada veģetācijas periodā bija sastopama 45% (2011.gadā - 30%) novēroto ziemas kviešu, 35% (2011.gadā -70%) vasaras kviešu, 35% vasaras miežu sējumu un atsevišķos tritikāles sējumos. Vārpu </w:t>
      </w:r>
      <w:proofErr w:type="spellStart"/>
      <w:r w:rsidRPr="00077677">
        <w:rPr>
          <w:rFonts w:asciiTheme="minorHAnsi" w:hAnsiTheme="minorHAnsi"/>
        </w:rPr>
        <w:t>fuzarioze</w:t>
      </w:r>
      <w:proofErr w:type="spellEnd"/>
      <w:r w:rsidRPr="00077677">
        <w:rPr>
          <w:rFonts w:asciiTheme="minorHAnsi" w:hAnsiTheme="minorHAnsi"/>
        </w:rPr>
        <w:t xml:space="preserve"> bija sastopama atsevišķos ziemas kviešu, tritikāles, vasaras miežu sējumos un apmēram trešajā daļā no novērotajiem vasaras kviešu sējumiem ar nenozīmīgu izplatību.</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Agrāk kā parasti (stiebrošanas sākums līdz </w:t>
      </w:r>
      <w:proofErr w:type="spellStart"/>
      <w:r w:rsidRPr="00077677">
        <w:rPr>
          <w:rFonts w:asciiTheme="minorHAnsi" w:hAnsiTheme="minorHAnsi"/>
        </w:rPr>
        <w:t>karoglapas</w:t>
      </w:r>
      <w:proofErr w:type="spellEnd"/>
      <w:r w:rsidRPr="00077677">
        <w:rPr>
          <w:rFonts w:asciiTheme="minorHAnsi" w:hAnsiTheme="minorHAnsi"/>
        </w:rPr>
        <w:t xml:space="preserve"> parādīšanās – AS 30-37) salīdzinājumā ar citiem gadiem, konstatētas pirmās brūnās rūsas pazīmes rudzu sējumos, kas bija prognozējams, jo atsevišķos 2012.gada ražai iesētajos sējumos rūsas pazīmes tika atrastas jau 2011.gada rudenī. Ziemas kviešu sējumos brūnā rūsa parādījās piengatavības sākumā </w:t>
      </w:r>
      <w:proofErr w:type="gramStart"/>
      <w:r w:rsidRPr="00077677">
        <w:rPr>
          <w:rFonts w:asciiTheme="minorHAnsi" w:hAnsiTheme="minorHAnsi"/>
        </w:rPr>
        <w:t>(</w:t>
      </w:r>
      <w:proofErr w:type="gramEnd"/>
      <w:r w:rsidRPr="00077677">
        <w:rPr>
          <w:rFonts w:asciiTheme="minorHAnsi" w:hAnsiTheme="minorHAnsi"/>
        </w:rPr>
        <w:t>AS 71), vasaras kviešos atsevišķos laukos ziedēšanas vidū (AS 65). Arī tritikāles sējumos šī rūsa bija satopama, taču ar nelielu izplatību inficētajos laukos.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Atsevišķos novērotajos ziemas kviešu un rudzu sējumos Latgalē (Daugavpils un Baltinavas novados) jūnija beigās konstatēta dzeltenā rūsa. Tika saņemta informācija par nozīmīgu dzeltenās rūsas izplatību vairākos ziemas kviešu sējumos Kurzemē, slimības pazīmes konstatētas arī tritikāles sējumos Vidzemē. 2011.gadā dzeltenās rūsas pazīmes novērotas tikai vienā ziemas kviešu sējumā.</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Vairākos ziemas miežu sējumos novērotas miežu </w:t>
      </w:r>
      <w:proofErr w:type="spellStart"/>
      <w:r w:rsidRPr="00077677">
        <w:rPr>
          <w:rFonts w:asciiTheme="minorHAnsi" w:hAnsiTheme="minorHAnsi"/>
        </w:rPr>
        <w:t>pundurrūsas</w:t>
      </w:r>
      <w:proofErr w:type="spellEnd"/>
      <w:r w:rsidRPr="00077677">
        <w:rPr>
          <w:rFonts w:asciiTheme="minorHAnsi" w:hAnsiTheme="minorHAnsi"/>
        </w:rPr>
        <w:t xml:space="preserve"> pazīmes.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Vairumā novēroto auzu sējumu bija sastopama auzu </w:t>
      </w:r>
      <w:proofErr w:type="spellStart"/>
      <w:r w:rsidRPr="00077677">
        <w:rPr>
          <w:rFonts w:asciiTheme="minorHAnsi" w:hAnsiTheme="minorHAnsi"/>
        </w:rPr>
        <w:t>brūnplankumainība</w:t>
      </w:r>
      <w:proofErr w:type="spellEnd"/>
      <w:r w:rsidRPr="00077677">
        <w:rPr>
          <w:rFonts w:asciiTheme="minorHAnsi" w:hAnsiTheme="minorHAnsi"/>
        </w:rPr>
        <w:t xml:space="preserve">, auzu </w:t>
      </w:r>
      <w:proofErr w:type="spellStart"/>
      <w:r w:rsidRPr="00077677">
        <w:rPr>
          <w:rFonts w:asciiTheme="minorHAnsi" w:hAnsiTheme="minorHAnsi"/>
        </w:rPr>
        <w:t>vainagrūsa</w:t>
      </w:r>
      <w:proofErr w:type="spellEnd"/>
      <w:r w:rsidRPr="00077677">
        <w:rPr>
          <w:rFonts w:asciiTheme="minorHAnsi" w:hAnsiTheme="minorHAnsi"/>
        </w:rPr>
        <w:t xml:space="preserve"> bija sastopama 40% novēroto sējumu un pirmās pazīmes galvenokārt konstatētas ziedēšanas </w:t>
      </w:r>
      <w:r w:rsidRPr="00077677">
        <w:rPr>
          <w:rFonts w:asciiTheme="minorHAnsi" w:hAnsiTheme="minorHAnsi"/>
        </w:rPr>
        <w:lastRenderedPageBreak/>
        <w:t xml:space="preserve">vidū </w:t>
      </w:r>
      <w:proofErr w:type="gramStart"/>
      <w:r w:rsidRPr="00077677">
        <w:rPr>
          <w:rFonts w:asciiTheme="minorHAnsi" w:hAnsiTheme="minorHAnsi"/>
        </w:rPr>
        <w:t>(</w:t>
      </w:r>
      <w:proofErr w:type="gramEnd"/>
      <w:r w:rsidRPr="00077677">
        <w:rPr>
          <w:rFonts w:asciiTheme="minorHAnsi" w:hAnsiTheme="minorHAnsi"/>
        </w:rPr>
        <w:t>AS 65) līdz piengatavības sākumā (AS 71) (2011.gadā - vārpošanas beigās līdz ziedēšanas sākumā (AS 59 – 61)).</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Melnie graudi bija sastopami trešajā daļā novēroto rudzu sējumu (2011.gadā ļoti retos gadījumos) ar minimālu izplatību.</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Laputis savu barošanos graudaugu sējumos uzsāka maija vidū, un masveida savairošanās 2012. gadā novērotajos laukos netika konstatēta. Savukārt 2011.gadā pirmās laputis ziemas kviešu sējumos tika konstatētas jau maija sākumā, vasaras kviešos – maija beigās kviešu trīs līdz piecu lapu stadijās (AS 13-15) un vairākos sējumos līdz vārpošanas sākumam sasniedza nozīmīgu izplatību ap 30%. Ziemas miežu sējumos laputu izplatība bija nenozīmīga, nozīmīgu izplatību tās nesasniedza arī rudzu sējumos. Vasaras miežu sējumos laputis bija bieži sastopamas (83% lauku), parādījās maija pēdējā nedēļā. Laputu invāzija bieži tika konstatēta 70% novērotajos auzu sējumos. Nozīmīga tripšu savairošanās graudaugu sējumos netika konstatēta.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Informāciju par graudaugu sējumos konstatētajiem kaitīgajiem organismiem skat. tabulā „Graudaugu sējumos konstatētie kaitīgie organismi 2012.gadā”. </w:t>
      </w:r>
    </w:p>
    <w:p w:rsidR="00DA62F2" w:rsidRDefault="00DA62F2" w:rsidP="00DA62F2">
      <w:pPr>
        <w:rPr>
          <w:rFonts w:asciiTheme="minorHAnsi" w:hAnsiTheme="minorHAnsi"/>
        </w:rPr>
      </w:pPr>
    </w:p>
    <w:p w:rsidR="00077677" w:rsidRDefault="00077677" w:rsidP="00DA62F2">
      <w:pPr>
        <w:rPr>
          <w:i/>
          <w:iCs/>
          <w:color w:val="555F00"/>
        </w:rPr>
      </w:pPr>
      <w:r w:rsidRPr="00077677">
        <w:rPr>
          <w:rFonts w:asciiTheme="minorHAnsi" w:hAnsiTheme="minorHAnsi"/>
          <w:sz w:val="28"/>
        </w:rPr>
        <w:t>Graudaugu sējumos konstatētie kaitīgie organismi 2012.gadā</w:t>
      </w:r>
      <w:proofErr w:type="gramStart"/>
      <w:r>
        <w:rPr>
          <w:i/>
          <w:iCs/>
          <w:color w:val="555F00"/>
        </w:rPr>
        <w:t xml:space="preserve">  </w:t>
      </w:r>
      <w:proofErr w:type="gramEnd"/>
    </w:p>
    <w:p w:rsidR="00077677" w:rsidRDefault="00077677" w:rsidP="00077677">
      <w:r>
        <w:t> </w:t>
      </w:r>
      <w:r w:rsidR="007D1896">
        <w:rPr>
          <w:noProof/>
        </w:rPr>
        <mc:AlternateContent>
          <mc:Choice Requires="wps">
            <w:drawing>
              <wp:anchor distT="36576" distB="36576" distL="36576" distR="36576" simplePos="0" relativeHeight="251704320" behindDoc="0" locked="0" layoutInCell="1" allowOverlap="1" wp14:anchorId="0B8E639A" wp14:editId="708FB4FA">
                <wp:simplePos x="0" y="0"/>
                <wp:positionH relativeFrom="column">
                  <wp:posOffset>3865245</wp:posOffset>
                </wp:positionH>
                <wp:positionV relativeFrom="paragraph">
                  <wp:posOffset>6108700</wp:posOffset>
                </wp:positionV>
                <wp:extent cx="3237230" cy="4070985"/>
                <wp:effectExtent l="0" t="0" r="1270" b="571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40709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304.35pt;margin-top:481pt;width:254.9pt;height:320.5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p15Q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" filled="f" stroked="f" insetpen="t">
                <v:shadow color="#e7dec9"/>
                <o:lock v:ext="edit" shapetype="t"/>
                <v:textbox inset="0,0,0,0"/>
              </v:rect>
            </w:pict>
          </mc:Fallback>
        </mc:AlternateContent>
      </w:r>
    </w:p>
    <w:tbl>
      <w:tblPr>
        <w:tblW w:w="7855" w:type="dxa"/>
        <w:tblCellMar>
          <w:left w:w="0" w:type="dxa"/>
          <w:right w:w="0" w:type="dxa"/>
        </w:tblCellMar>
        <w:tblLook w:val="04A0" w:firstRow="1" w:lastRow="0" w:firstColumn="1" w:lastColumn="0" w:noHBand="0" w:noVBand="1"/>
      </w:tblPr>
      <w:tblGrid>
        <w:gridCol w:w="1476"/>
        <w:gridCol w:w="3583"/>
        <w:gridCol w:w="2796"/>
      </w:tblGrid>
      <w:tr w:rsidR="00376E4F" w:rsidRPr="00376E4F" w:rsidTr="00376E4F">
        <w:trPr>
          <w:trHeight w:val="626"/>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Kultūraugs</w:t>
            </w:r>
            <w:r w:rsidRPr="00376E4F">
              <w:rPr>
                <w:rFonts w:asciiTheme="minorHAnsi" w:hAnsiTheme="minorHAnsi"/>
                <w:b/>
                <w:bCs/>
                <w:sz w:val="20"/>
                <w:szCs w:val="20"/>
              </w:rPr>
              <w:tab/>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Konstatētās augu slimības</w:t>
            </w:r>
            <w:r w:rsidRPr="00376E4F">
              <w:rPr>
                <w:rFonts w:asciiTheme="minorHAnsi" w:hAnsiTheme="minorHAnsi"/>
                <w:b/>
                <w:bCs/>
                <w:sz w:val="20"/>
                <w:szCs w:val="20"/>
              </w:rPr>
              <w:tab/>
            </w:r>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Konstatētie kaitēkļi</w:t>
            </w:r>
          </w:p>
        </w:tc>
      </w:tr>
      <w:tr w:rsidR="00376E4F" w:rsidRPr="00376E4F" w:rsidTr="00376E4F">
        <w:trPr>
          <w:trHeight w:val="2887"/>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Ziemas kvieši</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Graudzāļu miltrasa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pelēkplankumainība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dzeltenplankumainība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Lapu </w:t>
            </w:r>
            <w:proofErr w:type="spellStart"/>
            <w:r w:rsidRPr="00376E4F">
              <w:rPr>
                <w:rFonts w:asciiTheme="minorHAnsi" w:hAnsiTheme="minorHAnsi"/>
                <w:sz w:val="20"/>
                <w:szCs w:val="20"/>
              </w:rPr>
              <w:t>brūnplankumainība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Sārtais sniega pelējums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Vārpu plēkšņu plankumainība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Brūnā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Dzeltenā rūsa</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Baltvārpainība</w:t>
            </w:r>
            <w:proofErr w:type="spellEnd"/>
            <w:r w:rsidRPr="00376E4F">
              <w:rPr>
                <w:rFonts w:asciiTheme="minorHAnsi" w:hAnsiTheme="minorHAnsi"/>
                <w:sz w:val="20"/>
                <w:szCs w:val="20"/>
              </w:rPr>
              <w:t xml:space="preser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r w:rsidRPr="00376E4F">
              <w:rPr>
                <w:rFonts w:asciiTheme="minorHAnsi" w:hAnsiTheme="minorHAnsi"/>
                <w:sz w:val="20"/>
                <w:szCs w:val="20"/>
              </w:rPr>
              <w:t xml:space="preser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Sakņu puves</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Vārpu </w:t>
            </w:r>
            <w:proofErr w:type="spellStart"/>
            <w:r w:rsidRPr="00376E4F">
              <w:rPr>
                <w:rFonts w:asciiTheme="minorHAnsi" w:hAnsiTheme="minorHAnsi"/>
                <w:sz w:val="20"/>
                <w:szCs w:val="20"/>
              </w:rPr>
              <w:t>fuzarioze</w:t>
            </w:r>
            <w:proofErr w:type="spellEnd"/>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Tripši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Sprakšķi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Mīkstblaktis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Graudaugu </w:t>
            </w:r>
            <w:proofErr w:type="spellStart"/>
            <w:r w:rsidRPr="00376E4F">
              <w:rPr>
                <w:rFonts w:asciiTheme="minorHAnsi" w:hAnsiTheme="minorHAnsi"/>
                <w:sz w:val="20"/>
                <w:szCs w:val="20"/>
              </w:rPr>
              <w:t>zāģlapsenes</w:t>
            </w:r>
            <w:proofErr w:type="spellEnd"/>
          </w:p>
          <w:p w:rsidR="00077677" w:rsidRPr="00376E4F" w:rsidRDefault="00077677">
            <w:pPr>
              <w:widowControl w:val="0"/>
              <w:spacing w:line="285" w:lineRule="auto"/>
              <w:rPr>
                <w:rFonts w:asciiTheme="minorHAnsi" w:hAnsiTheme="minorHAnsi"/>
                <w:kern w:val="28"/>
                <w:sz w:val="20"/>
                <w:szCs w:val="20"/>
              </w:rPr>
            </w:pPr>
            <w:proofErr w:type="spellStart"/>
            <w:r w:rsidRPr="00376E4F">
              <w:rPr>
                <w:rFonts w:asciiTheme="minorHAnsi" w:hAnsiTheme="minorHAnsi"/>
                <w:sz w:val="20"/>
                <w:szCs w:val="20"/>
              </w:rPr>
              <w:t>Mīkstgliemeži</w:t>
            </w:r>
            <w:proofErr w:type="spellEnd"/>
          </w:p>
        </w:tc>
      </w:tr>
      <w:tr w:rsidR="00376E4F" w:rsidRPr="00376E4F" w:rsidTr="00376E4F">
        <w:trPr>
          <w:trHeight w:val="2897"/>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Vasaras</w:t>
            </w:r>
            <w:proofErr w:type="gramStart"/>
            <w:r w:rsidRPr="00376E4F">
              <w:rPr>
                <w:rFonts w:asciiTheme="minorHAnsi" w:hAnsiTheme="minorHAnsi"/>
                <w:b/>
                <w:bCs/>
                <w:sz w:val="20"/>
                <w:szCs w:val="20"/>
              </w:rPr>
              <w:t xml:space="preserve">  </w:t>
            </w:r>
            <w:proofErr w:type="gramEnd"/>
            <w:r w:rsidRPr="00376E4F">
              <w:rPr>
                <w:rFonts w:asciiTheme="minorHAnsi" w:hAnsiTheme="minorHAnsi"/>
                <w:b/>
                <w:bCs/>
                <w:sz w:val="20"/>
                <w:szCs w:val="20"/>
              </w:rPr>
              <w:t>kvieši</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Graudzāļu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dzeltenplankumainība</w:t>
            </w:r>
            <w:proofErr w:type="spellEnd"/>
            <w:r w:rsidRPr="00376E4F">
              <w:rPr>
                <w:rFonts w:asciiTheme="minorHAnsi" w:hAnsiTheme="minorHAnsi"/>
                <w:sz w:val="20"/>
                <w:szCs w:val="20"/>
              </w:rPr>
              <w:t xml:space="preser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pelēkplankumainība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Lapu </w:t>
            </w:r>
            <w:proofErr w:type="spellStart"/>
            <w:r w:rsidRPr="00376E4F">
              <w:rPr>
                <w:rFonts w:asciiTheme="minorHAnsi" w:hAnsiTheme="minorHAnsi"/>
                <w:sz w:val="20"/>
                <w:szCs w:val="20"/>
              </w:rPr>
              <w:t>brūnplankumainība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Vārpu plēkšņu plankumainība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Brūnā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Dzeltenā rūsa</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Baltvārpainība</w:t>
            </w:r>
            <w:proofErr w:type="spellEnd"/>
            <w:r w:rsidRPr="00376E4F">
              <w:rPr>
                <w:rFonts w:asciiTheme="minorHAnsi" w:hAnsiTheme="minorHAnsi"/>
                <w:sz w:val="20"/>
                <w:szCs w:val="20"/>
              </w:rPr>
              <w:t xml:space="preser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Kviešu cietā melnplauka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Sakņu puves</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Vārpu </w:t>
            </w:r>
            <w:proofErr w:type="spellStart"/>
            <w:r w:rsidRPr="00376E4F">
              <w:rPr>
                <w:rFonts w:asciiTheme="minorHAnsi" w:hAnsiTheme="minorHAnsi"/>
                <w:sz w:val="20"/>
                <w:szCs w:val="20"/>
              </w:rPr>
              <w:t>fuzarioze</w:t>
            </w:r>
            <w:proofErr w:type="spellEnd"/>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Graudaugu </w:t>
            </w:r>
            <w:proofErr w:type="spellStart"/>
            <w:r w:rsidRPr="00376E4F">
              <w:rPr>
                <w:rFonts w:asciiTheme="minorHAnsi" w:hAnsiTheme="minorHAnsi"/>
                <w:sz w:val="20"/>
                <w:szCs w:val="20"/>
              </w:rPr>
              <w:t>zāģlapsenes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Tripši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Sprakšķi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Labību spradži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spacing w:line="285" w:lineRule="auto"/>
              <w:rPr>
                <w:rFonts w:asciiTheme="minorHAnsi" w:hAnsiTheme="minorHAnsi"/>
                <w:kern w:val="28"/>
                <w:sz w:val="20"/>
                <w:szCs w:val="20"/>
              </w:rPr>
            </w:pPr>
            <w:proofErr w:type="spellStart"/>
            <w:r w:rsidRPr="00376E4F">
              <w:rPr>
                <w:rFonts w:asciiTheme="minorHAnsi" w:hAnsiTheme="minorHAnsi"/>
                <w:sz w:val="20"/>
                <w:szCs w:val="20"/>
              </w:rPr>
              <w:t>Mīkstblaktis</w:t>
            </w:r>
            <w:proofErr w:type="spellEnd"/>
          </w:p>
        </w:tc>
      </w:tr>
      <w:tr w:rsidR="00376E4F" w:rsidRPr="00376E4F" w:rsidTr="00376E4F">
        <w:trPr>
          <w:trHeight w:val="1346"/>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7D1896">
            <w:pPr>
              <w:widowControl w:val="0"/>
              <w:spacing w:after="120" w:line="285" w:lineRule="auto"/>
              <w:rPr>
                <w:rFonts w:asciiTheme="minorHAnsi" w:hAnsiTheme="minorHAnsi"/>
                <w:b/>
                <w:bCs/>
                <w:kern w:val="28"/>
                <w:sz w:val="20"/>
                <w:szCs w:val="20"/>
              </w:rPr>
            </w:pPr>
            <w:r w:rsidRPr="00376E4F">
              <w:rPr>
                <w:noProof/>
              </w:rPr>
              <mc:AlternateContent>
                <mc:Choice Requires="wps">
                  <w:drawing>
                    <wp:anchor distT="36576" distB="36576" distL="36576" distR="36576" simplePos="0" relativeHeight="251706368" behindDoc="0" locked="0" layoutInCell="1" allowOverlap="1" wp14:anchorId="3F3606F3" wp14:editId="16B561B6">
                      <wp:simplePos x="0" y="0"/>
                      <wp:positionH relativeFrom="column">
                        <wp:posOffset>436245</wp:posOffset>
                      </wp:positionH>
                      <wp:positionV relativeFrom="paragraph">
                        <wp:posOffset>461010</wp:posOffset>
                      </wp:positionV>
                      <wp:extent cx="3237230" cy="8627745"/>
                      <wp:effectExtent l="0" t="0" r="1270" b="190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862774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34.35pt;margin-top:36.3pt;width:254.9pt;height:679.35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" filled="f" stroked="f" insetpen="t">
                      <v:shadow color="#e7dec9"/>
                      <o:lock v:ext="edit" shapetype="t"/>
                      <v:textbox inset="0,0,0,0"/>
                    </v:rect>
                  </w:pict>
                </mc:Fallback>
              </mc:AlternateContent>
            </w:r>
            <w:r w:rsidR="00077677" w:rsidRPr="00376E4F">
              <w:rPr>
                <w:rFonts w:asciiTheme="minorHAnsi" w:hAnsiTheme="minorHAnsi"/>
                <w:b/>
                <w:bCs/>
                <w:sz w:val="20"/>
                <w:szCs w:val="20"/>
              </w:rPr>
              <w:t>Ziemas mieži</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Graudzāļu miltrasa</w:t>
            </w:r>
            <w:proofErr w:type="gramStart"/>
            <w:r w:rsidRPr="00376E4F">
              <w:rPr>
                <w:rFonts w:asciiTheme="minorHAnsi" w:hAnsiTheme="minorHAnsi"/>
                <w:sz w:val="20"/>
                <w:szCs w:val="20"/>
              </w:rPr>
              <w:t xml:space="preserve">  </w:t>
            </w:r>
            <w:proofErr w:type="gram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Miežu lapu </w:t>
            </w:r>
            <w:proofErr w:type="spellStart"/>
            <w:r w:rsidRPr="00376E4F">
              <w:rPr>
                <w:rFonts w:asciiTheme="minorHAnsi" w:hAnsiTheme="minorHAnsi"/>
                <w:sz w:val="20"/>
                <w:szCs w:val="20"/>
              </w:rPr>
              <w:t>tīklplankumainība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Sakņu puves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Lapu </w:t>
            </w:r>
            <w:proofErr w:type="spellStart"/>
            <w:r w:rsidRPr="00376E4F">
              <w:rPr>
                <w:rFonts w:asciiTheme="minorHAnsi" w:hAnsiTheme="minorHAnsi"/>
                <w:sz w:val="20"/>
                <w:szCs w:val="20"/>
              </w:rPr>
              <w:t>brūnplankumainība</w:t>
            </w:r>
            <w:proofErr w:type="spellEnd"/>
            <w:r w:rsidRPr="00376E4F">
              <w:rPr>
                <w:rFonts w:asciiTheme="minorHAnsi" w:hAnsiTheme="minorHAnsi"/>
                <w:sz w:val="20"/>
                <w:szCs w:val="20"/>
              </w:rPr>
              <w:t xml:space="preserve"> Sārtais sniega pelējums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Stiebrzāļu </w:t>
            </w:r>
            <w:proofErr w:type="spellStart"/>
            <w:r w:rsidRPr="00376E4F">
              <w:rPr>
                <w:rFonts w:asciiTheme="minorHAnsi" w:hAnsiTheme="minorHAnsi"/>
                <w:sz w:val="20"/>
                <w:szCs w:val="20"/>
              </w:rPr>
              <w:t>gredzenplankumainība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lastRenderedPageBreak/>
              <w:t xml:space="preserve">Miežu </w:t>
            </w:r>
            <w:proofErr w:type="spellStart"/>
            <w:r w:rsidRPr="00376E4F">
              <w:rPr>
                <w:rFonts w:asciiTheme="minorHAnsi" w:hAnsiTheme="minorHAnsi"/>
                <w:sz w:val="20"/>
                <w:szCs w:val="20"/>
              </w:rPr>
              <w:t>pundurrūsa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Vārpu plēkšņu plankumainība</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lastRenderedPageBreak/>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Tripši</w:t>
            </w:r>
          </w:p>
        </w:tc>
      </w:tr>
      <w:tr w:rsidR="00376E4F" w:rsidRPr="00376E4F" w:rsidTr="00376E4F">
        <w:trPr>
          <w:trHeight w:val="1694"/>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lastRenderedPageBreak/>
              <w:t>Vasaras mieži</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Graudzāļu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Miežu lapu </w:t>
            </w:r>
            <w:proofErr w:type="spellStart"/>
            <w:r w:rsidRPr="00376E4F">
              <w:rPr>
                <w:rFonts w:asciiTheme="minorHAnsi" w:hAnsiTheme="minorHAnsi"/>
                <w:sz w:val="20"/>
                <w:szCs w:val="20"/>
              </w:rPr>
              <w:t>tīklplankumainība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Stiebrzāļu </w:t>
            </w:r>
            <w:proofErr w:type="spellStart"/>
            <w:r w:rsidRPr="00376E4F">
              <w:rPr>
                <w:rFonts w:asciiTheme="minorHAnsi" w:hAnsiTheme="minorHAnsi"/>
                <w:sz w:val="20"/>
                <w:szCs w:val="20"/>
              </w:rPr>
              <w:t>gredzenplankumainība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Lapu </w:t>
            </w:r>
            <w:proofErr w:type="spellStart"/>
            <w:r w:rsidRPr="00376E4F">
              <w:rPr>
                <w:rFonts w:asciiTheme="minorHAnsi" w:hAnsiTheme="minorHAnsi"/>
                <w:sz w:val="20"/>
                <w:szCs w:val="20"/>
              </w:rPr>
              <w:t>brūnplankumainība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Miežu putošā melnplauka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Sakņu puves</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Baltvārpainība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Vārpu </w:t>
            </w:r>
            <w:proofErr w:type="spellStart"/>
            <w:r w:rsidRPr="00376E4F">
              <w:rPr>
                <w:rFonts w:asciiTheme="minorHAnsi" w:hAnsiTheme="minorHAnsi"/>
                <w:sz w:val="20"/>
                <w:szCs w:val="20"/>
              </w:rPr>
              <w:t>fuzarioze</w:t>
            </w:r>
            <w:proofErr w:type="spellEnd"/>
            <w:r w:rsidRPr="00376E4F">
              <w:rPr>
                <w:rFonts w:asciiTheme="minorHAnsi" w:hAnsiTheme="minorHAnsi"/>
                <w:sz w:val="20"/>
                <w:szCs w:val="20"/>
              </w:rPr>
              <w:t xml:space="preserve"> </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Vārpu plēkšņu plankumainība </w:t>
            </w:r>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Mīkstblaktis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Sprakšķi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Tripši</w:t>
            </w:r>
          </w:p>
        </w:tc>
      </w:tr>
      <w:tr w:rsidR="00376E4F" w:rsidRPr="00376E4F" w:rsidTr="00376E4F">
        <w:trPr>
          <w:trHeight w:val="3633"/>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Rudzi</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Stiebrzāļu </w:t>
            </w:r>
            <w:proofErr w:type="spellStart"/>
            <w:r w:rsidRPr="00376E4F">
              <w:rPr>
                <w:rFonts w:asciiTheme="minorHAnsi" w:hAnsiTheme="minorHAnsi"/>
                <w:sz w:val="20"/>
                <w:szCs w:val="20"/>
              </w:rPr>
              <w:t>gredzenplankumainība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Brūnā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Dzeltenā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Rudzu lapu </w:t>
            </w:r>
            <w:proofErr w:type="spellStart"/>
            <w:r w:rsidRPr="00376E4F">
              <w:rPr>
                <w:rFonts w:asciiTheme="minorHAnsi" w:hAnsiTheme="minorHAnsi"/>
                <w:sz w:val="20"/>
                <w:szCs w:val="20"/>
              </w:rPr>
              <w:t>pelēkplankumainība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dzeltenplankumainība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Graudzāļu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Graudzāļu stiebru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Pelēkais sniega pelējums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Sārtais sniega pelējums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Sakņu puves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Melnie graudi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Vārpu </w:t>
            </w:r>
            <w:proofErr w:type="spellStart"/>
            <w:r w:rsidRPr="00376E4F">
              <w:rPr>
                <w:rFonts w:asciiTheme="minorHAnsi" w:hAnsiTheme="minorHAnsi"/>
                <w:sz w:val="20"/>
                <w:szCs w:val="20"/>
              </w:rPr>
              <w:t>fuzarioze</w:t>
            </w:r>
            <w:proofErr w:type="spellEnd"/>
            <w:r w:rsidRPr="00376E4F">
              <w:rPr>
                <w:rFonts w:asciiTheme="minorHAnsi" w:hAnsiTheme="minorHAnsi"/>
                <w:sz w:val="20"/>
                <w:szCs w:val="20"/>
              </w:rPr>
              <w:t xml:space="preser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Vārpu plēkšņu plankumainība</w:t>
            </w:r>
          </w:p>
          <w:p w:rsidR="00077677" w:rsidRPr="00376E4F" w:rsidRDefault="00077677">
            <w:pPr>
              <w:widowControl w:val="0"/>
              <w:spacing w:line="285" w:lineRule="auto"/>
              <w:rPr>
                <w:rFonts w:asciiTheme="minorHAnsi" w:hAnsiTheme="minorHAnsi"/>
                <w:kern w:val="28"/>
                <w:sz w:val="20"/>
                <w:szCs w:val="20"/>
              </w:rPr>
            </w:pPr>
            <w:proofErr w:type="spellStart"/>
            <w:r w:rsidRPr="00376E4F">
              <w:rPr>
                <w:rFonts w:asciiTheme="minorHAnsi" w:hAnsiTheme="minorHAnsi"/>
                <w:sz w:val="20"/>
                <w:szCs w:val="20"/>
              </w:rPr>
              <w:t>Baltvārpainība</w:t>
            </w:r>
            <w:proofErr w:type="spellEnd"/>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w:t>
            </w:r>
          </w:p>
        </w:tc>
      </w:tr>
      <w:tr w:rsidR="00376E4F" w:rsidRPr="00376E4F" w:rsidTr="00376E4F">
        <w:trPr>
          <w:trHeight w:val="1967"/>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Auzas</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Auzu lapu </w:t>
            </w:r>
            <w:proofErr w:type="spellStart"/>
            <w:r w:rsidRPr="00376E4F">
              <w:rPr>
                <w:rFonts w:asciiTheme="minorHAnsi" w:hAnsiTheme="minorHAnsi"/>
                <w:sz w:val="20"/>
                <w:szCs w:val="20"/>
              </w:rPr>
              <w:t>brūnplankumainība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Auzu putošā melnplauka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Auzu </w:t>
            </w:r>
            <w:proofErr w:type="spellStart"/>
            <w:r w:rsidRPr="00376E4F">
              <w:rPr>
                <w:rFonts w:asciiTheme="minorHAnsi" w:hAnsiTheme="minorHAnsi"/>
                <w:sz w:val="20"/>
                <w:szCs w:val="20"/>
              </w:rPr>
              <w:t>vainagrūsa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Graudzāļu miltrasa</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Baltvārpainība</w:t>
            </w:r>
            <w:proofErr w:type="spellEnd"/>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Sakņu puves</w:t>
            </w:r>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Graudaugu </w:t>
            </w:r>
            <w:proofErr w:type="spellStart"/>
            <w:r w:rsidRPr="00376E4F">
              <w:rPr>
                <w:rFonts w:asciiTheme="minorHAnsi" w:hAnsiTheme="minorHAnsi"/>
                <w:sz w:val="20"/>
                <w:szCs w:val="20"/>
              </w:rPr>
              <w:t>zāģlapsenes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Mīkstblaktis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Sprakšķi</w:t>
            </w:r>
          </w:p>
        </w:tc>
      </w:tr>
      <w:tr w:rsidR="00376E4F" w:rsidRPr="00376E4F" w:rsidTr="00376E4F">
        <w:trPr>
          <w:trHeight w:val="2665"/>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Tritikāle</w:t>
            </w:r>
          </w:p>
        </w:tc>
        <w:tc>
          <w:tcPr>
            <w:tcW w:w="358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Brūnā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Dzeltenā rūsa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pelēkplankumainība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Kviešu lapu </w:t>
            </w:r>
            <w:proofErr w:type="spellStart"/>
            <w:r w:rsidRPr="00376E4F">
              <w:rPr>
                <w:rFonts w:asciiTheme="minorHAnsi" w:hAnsiTheme="minorHAnsi"/>
                <w:sz w:val="20"/>
                <w:szCs w:val="20"/>
              </w:rPr>
              <w:t>dzeltenplankumainība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Graudzāļu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Sārtais sniega pelējums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Sakņu puves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Stiebrzāļu </w:t>
            </w:r>
            <w:proofErr w:type="spellStart"/>
            <w:r w:rsidRPr="00376E4F">
              <w:rPr>
                <w:rFonts w:asciiTheme="minorHAnsi" w:hAnsiTheme="minorHAnsi"/>
                <w:sz w:val="20"/>
                <w:szCs w:val="20"/>
              </w:rPr>
              <w:t>gredzenplankumainība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Vārpu plēkšņu plankumainība</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Vārpu </w:t>
            </w:r>
            <w:proofErr w:type="spellStart"/>
            <w:r w:rsidRPr="00376E4F">
              <w:rPr>
                <w:rFonts w:asciiTheme="minorHAnsi" w:hAnsiTheme="minorHAnsi"/>
                <w:sz w:val="20"/>
                <w:szCs w:val="20"/>
              </w:rPr>
              <w:t>fuzarioze</w:t>
            </w:r>
            <w:proofErr w:type="spellEnd"/>
          </w:p>
        </w:tc>
        <w:tc>
          <w:tcPr>
            <w:tcW w:w="279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Graudaugu </w:t>
            </w:r>
            <w:proofErr w:type="spellStart"/>
            <w:r w:rsidRPr="00376E4F">
              <w:rPr>
                <w:rFonts w:asciiTheme="minorHAnsi" w:hAnsiTheme="minorHAnsi"/>
                <w:sz w:val="20"/>
                <w:szCs w:val="20"/>
              </w:rPr>
              <w:t>zāģlapsenes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Labību lapgrauži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Melnās </w:t>
            </w:r>
            <w:proofErr w:type="spellStart"/>
            <w:r w:rsidRPr="00376E4F">
              <w:rPr>
                <w:rFonts w:asciiTheme="minorHAnsi" w:hAnsiTheme="minorHAnsi"/>
                <w:sz w:val="20"/>
                <w:szCs w:val="20"/>
              </w:rPr>
              <w:t>stiebrmušas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Sprakšķi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Tripši</w:t>
            </w:r>
          </w:p>
        </w:tc>
      </w:tr>
    </w:tbl>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Krustziežu </w:t>
      </w:r>
      <w:proofErr w:type="spellStart"/>
      <w:r w:rsidRPr="00077677">
        <w:rPr>
          <w:rFonts w:asciiTheme="minorHAnsi" w:hAnsiTheme="minorHAnsi"/>
        </w:rPr>
        <w:t>sausplankumainība</w:t>
      </w:r>
      <w:proofErr w:type="spellEnd"/>
      <w:r w:rsidRPr="00077677">
        <w:rPr>
          <w:rFonts w:asciiTheme="minorHAnsi" w:hAnsiTheme="minorHAnsi"/>
        </w:rPr>
        <w:t xml:space="preserve">, kā jau katru, bija sastopama attiecīgi 85 un 53% no novērotajiem ziemas un vasaras rapša sējumiem (2011.gadā – 85 un 83%). Baltās puves pazīmes ar nelielu izplatību atrastas 38% (2011.gadā 44%, 2010.gadā 17%) novēroto ziemas un 11% (2011.gadā 39%) vasaras rapša lauku. Krustziežu sausā puve konstatēta 5% </w:t>
      </w:r>
      <w:r w:rsidRPr="00077677">
        <w:rPr>
          <w:rFonts w:asciiTheme="minorHAnsi" w:hAnsiTheme="minorHAnsi"/>
        </w:rPr>
        <w:lastRenderedPageBreak/>
        <w:t xml:space="preserve">(2011.gadā 38%) ziemas rapša un 16% (2011.gadā 32%) vasaras rapša sējumu. Neīstā miltrasa bija sastopama nelielā daļā no novērotajiem rapša sējumiem.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Krustziežu </w:t>
      </w:r>
      <w:proofErr w:type="spellStart"/>
      <w:r w:rsidRPr="00077677">
        <w:rPr>
          <w:rFonts w:asciiTheme="minorHAnsi" w:hAnsiTheme="minorHAnsi"/>
        </w:rPr>
        <w:t>spīdulis</w:t>
      </w:r>
      <w:proofErr w:type="spellEnd"/>
      <w:r w:rsidRPr="00077677">
        <w:rPr>
          <w:rFonts w:asciiTheme="minorHAnsi" w:hAnsiTheme="minorHAnsi"/>
        </w:rPr>
        <w:t xml:space="preserve"> ziemas rapša sējumos parādījās aprīļa beigās, vasaras rapsī jau maija beigās un vairumā gadījumu vērojama masveida savairošanās.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Informāciju par rapša un linu sējumos konstatētajiem kaitīgajiem organismiem skat. tabulā „Eļļas un šķiedras augu sējumos konstatētie kaitīgie organismi 2012.gadā”. </w:t>
      </w:r>
    </w:p>
    <w:p w:rsidR="00077677" w:rsidRDefault="00077677" w:rsidP="00077677">
      <w:pPr>
        <w:widowControl w:val="0"/>
      </w:pPr>
      <w:r>
        <w:t> </w:t>
      </w:r>
    </w:p>
    <w:p w:rsidR="00077677" w:rsidRPr="00077677" w:rsidRDefault="00077677" w:rsidP="00077677">
      <w:pPr>
        <w:widowControl w:val="0"/>
        <w:shd w:val="clear" w:color="auto" w:fill="DAEEF3" w:themeFill="accent5" w:themeFillTint="33"/>
        <w:spacing w:before="120"/>
        <w:jc w:val="both"/>
        <w:rPr>
          <w:rFonts w:asciiTheme="minorHAnsi" w:hAnsiTheme="minorHAnsi"/>
          <w:sz w:val="28"/>
        </w:rPr>
      </w:pPr>
      <w:r w:rsidRPr="00077677">
        <w:rPr>
          <w:rFonts w:asciiTheme="minorHAnsi" w:hAnsiTheme="minorHAnsi"/>
          <w:sz w:val="28"/>
        </w:rPr>
        <w:t>Eļļas un šķiedras augu sējumos konstatētie kaitīgie organismi 2012.gadā</w:t>
      </w:r>
    </w:p>
    <w:p w:rsidR="00077677" w:rsidRDefault="00077677" w:rsidP="00077677">
      <w:r>
        <w:t> </w:t>
      </w:r>
      <w:r w:rsidR="007D1896">
        <w:rPr>
          <w:noProof/>
        </w:rPr>
        <mc:AlternateContent>
          <mc:Choice Requires="wps">
            <w:drawing>
              <wp:anchor distT="36576" distB="36576" distL="36576" distR="36576" simplePos="0" relativeHeight="251708416" behindDoc="0" locked="0" layoutInCell="1" allowOverlap="1" wp14:anchorId="3934DA29" wp14:editId="3BA23860">
                <wp:simplePos x="0" y="0"/>
                <wp:positionH relativeFrom="column">
                  <wp:posOffset>3865245</wp:posOffset>
                </wp:positionH>
                <wp:positionV relativeFrom="paragraph">
                  <wp:posOffset>3862705</wp:posOffset>
                </wp:positionV>
                <wp:extent cx="3237230" cy="4664075"/>
                <wp:effectExtent l="0" t="0" r="1270" b="3175"/>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46640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304.35pt;margin-top:304.15pt;width:254.9pt;height:367.25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Vz5Q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" filled="f" stroked="f" insetpen="t">
                <v:shadow color="#e7dec9"/>
                <o:lock v:ext="edit" shapetype="t"/>
                <v:textbox inset="0,0,0,0"/>
              </v:rect>
            </w:pict>
          </mc:Fallback>
        </mc:AlternateContent>
      </w:r>
    </w:p>
    <w:tbl>
      <w:tblPr>
        <w:tblW w:w="8279" w:type="dxa"/>
        <w:tblCellMar>
          <w:left w:w="0" w:type="dxa"/>
          <w:right w:w="0" w:type="dxa"/>
        </w:tblCellMar>
        <w:tblLook w:val="04A0" w:firstRow="1" w:lastRow="0" w:firstColumn="1" w:lastColumn="0" w:noHBand="0" w:noVBand="1"/>
      </w:tblPr>
      <w:tblGrid>
        <w:gridCol w:w="1476"/>
        <w:gridCol w:w="3827"/>
        <w:gridCol w:w="2976"/>
      </w:tblGrid>
      <w:tr w:rsidR="00077677" w:rsidRPr="00376E4F" w:rsidTr="00077677">
        <w:trPr>
          <w:trHeight w:val="765"/>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Kultūraugs</w:t>
            </w:r>
            <w:r w:rsidRPr="00376E4F">
              <w:rPr>
                <w:rFonts w:asciiTheme="minorHAnsi" w:hAnsiTheme="minorHAnsi"/>
                <w:b/>
                <w:bCs/>
                <w:sz w:val="20"/>
                <w:szCs w:val="20"/>
              </w:rPr>
              <w:tab/>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Konstatētās augu slimības</w:t>
            </w:r>
            <w:r w:rsidRPr="00376E4F">
              <w:rPr>
                <w:rFonts w:asciiTheme="minorHAnsi" w:hAnsiTheme="minorHAnsi"/>
                <w:b/>
                <w:bCs/>
                <w:sz w:val="20"/>
                <w:szCs w:val="20"/>
              </w:rPr>
              <w:tab/>
            </w:r>
          </w:p>
        </w:tc>
        <w:tc>
          <w:tcPr>
            <w:tcW w:w="29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Konstatētie kaitēkļi</w:t>
            </w:r>
          </w:p>
        </w:tc>
      </w:tr>
      <w:tr w:rsidR="00077677" w:rsidRPr="00376E4F" w:rsidTr="00077677">
        <w:trPr>
          <w:trHeight w:val="1610"/>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Ziemas rapsis</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sausplankumainība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Baltā puve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Rapša neīstā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sausā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Pelēkā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Pelēkais sniega pelējums</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Sakņu puves </w:t>
            </w:r>
          </w:p>
        </w:tc>
        <w:tc>
          <w:tcPr>
            <w:tcW w:w="29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spīdulis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Kāpostu </w:t>
            </w:r>
            <w:proofErr w:type="spellStart"/>
            <w:r w:rsidRPr="00376E4F">
              <w:rPr>
                <w:rFonts w:asciiTheme="minorHAnsi" w:hAnsiTheme="minorHAnsi"/>
                <w:sz w:val="20"/>
                <w:szCs w:val="20"/>
              </w:rPr>
              <w:t>cekulkode</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alotājmuša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smecernieki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pāksteņu</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pangodiņš</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zāģlapsene</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Laputis</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Mīkstgliemeži</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Vīngliemeži</w:t>
            </w:r>
          </w:p>
        </w:tc>
      </w:tr>
      <w:tr w:rsidR="00077677" w:rsidRPr="00376E4F" w:rsidTr="00077677">
        <w:trPr>
          <w:trHeight w:val="1549"/>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Vasaras</w:t>
            </w:r>
            <w:proofErr w:type="gramStart"/>
            <w:r w:rsidRPr="00376E4F">
              <w:rPr>
                <w:rFonts w:asciiTheme="minorHAnsi" w:hAnsiTheme="minorHAnsi"/>
                <w:b/>
                <w:bCs/>
                <w:sz w:val="20"/>
                <w:szCs w:val="20"/>
              </w:rPr>
              <w:t xml:space="preserve">  </w:t>
            </w:r>
            <w:proofErr w:type="gramEnd"/>
            <w:r w:rsidRPr="00376E4F">
              <w:rPr>
                <w:rFonts w:asciiTheme="minorHAnsi" w:hAnsiTheme="minorHAnsi"/>
                <w:b/>
                <w:bCs/>
                <w:sz w:val="20"/>
                <w:szCs w:val="20"/>
              </w:rPr>
              <w:t>rapsis</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sausplankumainība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Rapša neīstā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Baltā puve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Pelēkā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sausā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miltrasa</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Sakņu puves</w:t>
            </w:r>
          </w:p>
        </w:tc>
        <w:tc>
          <w:tcPr>
            <w:tcW w:w="29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spīdulis</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Spradži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Balteņi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Kāpostu </w:t>
            </w:r>
            <w:proofErr w:type="spellStart"/>
            <w:r w:rsidRPr="00376E4F">
              <w:rPr>
                <w:rFonts w:asciiTheme="minorHAnsi" w:hAnsiTheme="minorHAnsi"/>
                <w:sz w:val="20"/>
                <w:szCs w:val="20"/>
              </w:rPr>
              <w:t>cekulkode</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alotājmuša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Krustziežu smecernieki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Laputis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pāksteņu</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pangodiņš</w:t>
            </w:r>
            <w:proofErr w:type="spellEnd"/>
          </w:p>
          <w:p w:rsidR="00077677" w:rsidRPr="00376E4F" w:rsidRDefault="00077677">
            <w:pPr>
              <w:widowControl w:val="0"/>
              <w:spacing w:line="285" w:lineRule="auto"/>
              <w:rPr>
                <w:rFonts w:asciiTheme="minorHAnsi" w:hAnsiTheme="minorHAnsi"/>
                <w:kern w:val="28"/>
                <w:sz w:val="20"/>
                <w:szCs w:val="20"/>
              </w:rPr>
            </w:pPr>
            <w:proofErr w:type="spellStart"/>
            <w:r w:rsidRPr="00376E4F">
              <w:rPr>
                <w:rFonts w:asciiTheme="minorHAnsi" w:hAnsiTheme="minorHAnsi"/>
                <w:sz w:val="20"/>
                <w:szCs w:val="20"/>
              </w:rPr>
              <w:t>Mīkstgliemeži</w:t>
            </w:r>
            <w:proofErr w:type="spellEnd"/>
          </w:p>
        </w:tc>
      </w:tr>
      <w:tr w:rsidR="00077677" w:rsidRPr="00376E4F" w:rsidTr="00077677">
        <w:trPr>
          <w:trHeight w:val="1503"/>
        </w:trPr>
        <w:tc>
          <w:tcPr>
            <w:tcW w:w="14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 xml:space="preserve">Lini </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Linu brūnēšana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Linu kalšana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Linu miltrasa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Linu pelēkā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Linu iedegas</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Linu vīte</w:t>
            </w:r>
          </w:p>
        </w:tc>
        <w:tc>
          <w:tcPr>
            <w:tcW w:w="2976"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Linu spradži</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Linu pūcīte </w:t>
            </w:r>
          </w:p>
        </w:tc>
      </w:tr>
    </w:tbl>
    <w:p w:rsidR="00671DF0" w:rsidRDefault="00671DF0" w:rsidP="00077677">
      <w:pPr>
        <w:widowControl w:val="0"/>
        <w:spacing w:before="120"/>
        <w:jc w:val="both"/>
        <w:rPr>
          <w:rFonts w:asciiTheme="minorHAnsi" w:hAnsiTheme="minorHAnsi"/>
        </w:rPr>
      </w:pPr>
    </w:p>
    <w:p w:rsidR="00077677" w:rsidRPr="00077677" w:rsidRDefault="00077677" w:rsidP="00961EEC">
      <w:pPr>
        <w:rPr>
          <w:rFonts w:asciiTheme="minorHAnsi" w:hAnsiTheme="minorHAnsi"/>
        </w:rPr>
      </w:pPr>
      <w:r w:rsidRPr="00077677">
        <w:rPr>
          <w:rFonts w:asciiTheme="minorHAnsi" w:hAnsiTheme="minorHAnsi"/>
        </w:rPr>
        <w:t xml:space="preserve">Kartupeļu lapu </w:t>
      </w:r>
      <w:proofErr w:type="spellStart"/>
      <w:r w:rsidRPr="00077677">
        <w:rPr>
          <w:rFonts w:asciiTheme="minorHAnsi" w:hAnsiTheme="minorHAnsi"/>
        </w:rPr>
        <w:t>sausplankumainības</w:t>
      </w:r>
      <w:proofErr w:type="spellEnd"/>
      <w:r w:rsidRPr="00077677">
        <w:rPr>
          <w:rFonts w:asciiTheme="minorHAnsi" w:hAnsiTheme="minorHAnsi"/>
        </w:rPr>
        <w:t xml:space="preserve"> pirmās pazīmes konstatētas jūnija beigās vairākos novados Kurzemē un dažviet valsts centrālajā daļā un Latgalē. Pirmās lakstu puves pazīmes konstatētas 20.jūnijā Rēzeknes un 24. jūnijā Ķeguma un Ogres novados, jūlija pirmajā nedēļā lakstu puve tika konstatēta arī citos novados Vidzemē, Latgalē un Zemgalē. Visvēlāk tā parādījās Kurzemē (17.jūlijs).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Pirmās kartupeļu lapgrauža vaboles un arī olu dējumi novērotajos kartupeļu stādījumos konstatētas maija beigās – jūnija sākumā Latgalē un Kurzemē, drīz pēc tam arī pārējā Latvijas teritorijā. Pirmie izšķīlušies kāpuri pamanīti jūnija beigās.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Tabulā „Kartupeļu stādījumos un uz bumbuļiem novērotie kaitīgie organismi 2012.gadā” apkopota informācija par 2012. gadā konstatētajiem kaitīgajiem organismiem kartupeļu </w:t>
      </w:r>
      <w:r w:rsidRPr="00077677">
        <w:rPr>
          <w:rFonts w:asciiTheme="minorHAnsi" w:hAnsiTheme="minorHAnsi"/>
        </w:rPr>
        <w:lastRenderedPageBreak/>
        <w:t>stādījumos un noliktavās.</w:t>
      </w:r>
    </w:p>
    <w:p w:rsidR="00961EEC" w:rsidRDefault="00961EEC">
      <w:pPr>
        <w:rPr>
          <w:rFonts w:asciiTheme="minorHAnsi" w:hAnsiTheme="minorHAnsi"/>
          <w:sz w:val="28"/>
        </w:rPr>
      </w:pPr>
    </w:p>
    <w:p w:rsidR="00077677" w:rsidRPr="00077677" w:rsidRDefault="00077677" w:rsidP="00077677">
      <w:pPr>
        <w:widowControl w:val="0"/>
        <w:shd w:val="clear" w:color="auto" w:fill="DAEEF3" w:themeFill="accent5" w:themeFillTint="33"/>
        <w:spacing w:before="120"/>
        <w:jc w:val="both"/>
        <w:rPr>
          <w:rFonts w:asciiTheme="minorHAnsi" w:hAnsiTheme="minorHAnsi"/>
          <w:sz w:val="28"/>
        </w:rPr>
      </w:pPr>
      <w:r w:rsidRPr="00077677">
        <w:rPr>
          <w:rFonts w:asciiTheme="minorHAnsi" w:hAnsiTheme="minorHAnsi"/>
          <w:sz w:val="28"/>
        </w:rPr>
        <w:t xml:space="preserve">Kartupeļu stādījumos un uz bumbuļiem novērotie kaitīgie organismi 2012.gadā </w:t>
      </w:r>
    </w:p>
    <w:p w:rsidR="00077677" w:rsidRDefault="00077677" w:rsidP="00077677">
      <w:r>
        <w:t> </w:t>
      </w:r>
      <w:r w:rsidR="007D1896">
        <w:rPr>
          <w:noProof/>
        </w:rPr>
        <mc:AlternateContent>
          <mc:Choice Requires="wps">
            <w:drawing>
              <wp:anchor distT="36576" distB="36576" distL="36576" distR="36576" simplePos="0" relativeHeight="251710464" behindDoc="0" locked="0" layoutInCell="1" allowOverlap="1" wp14:anchorId="5959A0C7" wp14:editId="5E79CD54">
                <wp:simplePos x="0" y="0"/>
                <wp:positionH relativeFrom="column">
                  <wp:posOffset>449580</wp:posOffset>
                </wp:positionH>
                <wp:positionV relativeFrom="paragraph">
                  <wp:posOffset>2477770</wp:posOffset>
                </wp:positionV>
                <wp:extent cx="3237230" cy="2287905"/>
                <wp:effectExtent l="0" t="0" r="1270" b="17145"/>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228790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35.4pt;margin-top:195.1pt;width:254.9pt;height:180.15pt;z-index:251710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" filled="f" stroked="f" insetpen="t">
                <v:shadow color="#e7dec9"/>
                <o:lock v:ext="edit" shapetype="t"/>
                <v:textbox inset="0,0,0,0"/>
              </v:rect>
            </w:pict>
          </mc:Fallback>
        </mc:AlternateContent>
      </w:r>
    </w:p>
    <w:tbl>
      <w:tblPr>
        <w:tblW w:w="5960" w:type="dxa"/>
        <w:tblCellMar>
          <w:left w:w="0" w:type="dxa"/>
          <w:right w:w="0" w:type="dxa"/>
        </w:tblCellMar>
        <w:tblLook w:val="04A0" w:firstRow="1" w:lastRow="0" w:firstColumn="1" w:lastColumn="0" w:noHBand="0" w:noVBand="1"/>
      </w:tblPr>
      <w:tblGrid>
        <w:gridCol w:w="1011"/>
        <w:gridCol w:w="3442"/>
        <w:gridCol w:w="1507"/>
      </w:tblGrid>
      <w:tr w:rsidR="00077677" w:rsidRPr="00376E4F" w:rsidTr="00077677">
        <w:trPr>
          <w:trHeight w:val="706"/>
        </w:trPr>
        <w:tc>
          <w:tcPr>
            <w:tcW w:w="101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Kultūraugs</w:t>
            </w:r>
            <w:r w:rsidRPr="00376E4F">
              <w:rPr>
                <w:rFonts w:asciiTheme="minorHAnsi" w:hAnsiTheme="minorHAnsi"/>
                <w:b/>
                <w:bCs/>
                <w:sz w:val="20"/>
                <w:szCs w:val="20"/>
              </w:rPr>
              <w:tab/>
            </w:r>
          </w:p>
        </w:tc>
        <w:tc>
          <w:tcPr>
            <w:tcW w:w="344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Konstatētās augu slimības</w:t>
            </w:r>
            <w:r w:rsidRPr="00376E4F">
              <w:rPr>
                <w:rFonts w:asciiTheme="minorHAnsi" w:hAnsiTheme="minorHAnsi"/>
                <w:b/>
                <w:bCs/>
                <w:sz w:val="20"/>
                <w:szCs w:val="20"/>
              </w:rPr>
              <w:tab/>
            </w:r>
          </w:p>
        </w:tc>
        <w:tc>
          <w:tcPr>
            <w:tcW w:w="150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Konstatētie kaitēkļi</w:t>
            </w:r>
          </w:p>
        </w:tc>
      </w:tr>
      <w:tr w:rsidR="00077677" w:rsidRPr="00376E4F" w:rsidTr="00077677">
        <w:trPr>
          <w:trHeight w:val="2897"/>
        </w:trPr>
        <w:tc>
          <w:tcPr>
            <w:tcW w:w="101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Kartupeļi</w:t>
            </w:r>
          </w:p>
        </w:tc>
        <w:tc>
          <w:tcPr>
            <w:tcW w:w="344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Kartupeļu lakstu puve</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Kartupeļu lapu </w:t>
            </w:r>
            <w:proofErr w:type="spellStart"/>
            <w:r w:rsidRPr="00376E4F">
              <w:rPr>
                <w:rFonts w:asciiTheme="minorHAnsi" w:hAnsiTheme="minorHAnsi"/>
                <w:sz w:val="20"/>
                <w:szCs w:val="20"/>
              </w:rPr>
              <w:t>sausplankumainība</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Kartupeļu melnais kraupis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Kartupeļu melnkāja</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Parastais kraupis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Sudrabotais kraupis</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Kartupeļu bumbuļu sausā puve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Kartupeļu bumbuļu </w:t>
            </w:r>
            <w:proofErr w:type="spellStart"/>
            <w:r w:rsidRPr="00376E4F">
              <w:rPr>
                <w:rFonts w:asciiTheme="minorHAnsi" w:hAnsiTheme="minorHAnsi"/>
                <w:sz w:val="20"/>
                <w:szCs w:val="20"/>
              </w:rPr>
              <w:t>fomozā</w:t>
            </w:r>
            <w:proofErr w:type="spellEnd"/>
            <w:r w:rsidRPr="00376E4F">
              <w:rPr>
                <w:rFonts w:asciiTheme="minorHAnsi" w:hAnsiTheme="minorHAnsi"/>
                <w:sz w:val="20"/>
                <w:szCs w:val="20"/>
              </w:rPr>
              <w:t xml:space="preserve"> puve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Kartupeļu bumbuļu slapjās puves</w:t>
            </w:r>
          </w:p>
          <w:p w:rsidR="00077677" w:rsidRPr="00376E4F" w:rsidRDefault="00077677">
            <w:pPr>
              <w:widowControl w:val="0"/>
              <w:rPr>
                <w:rFonts w:asciiTheme="minorHAnsi" w:hAnsiTheme="minorHAnsi"/>
                <w:sz w:val="20"/>
                <w:szCs w:val="20"/>
              </w:rPr>
            </w:pPr>
            <w:proofErr w:type="spellStart"/>
            <w:r w:rsidRPr="00376E4F">
              <w:rPr>
                <w:rFonts w:asciiTheme="minorHAnsi" w:hAnsiTheme="minorHAnsi"/>
                <w:sz w:val="20"/>
                <w:szCs w:val="20"/>
              </w:rPr>
              <w:t>Rizoktonioze</w:t>
            </w:r>
            <w:proofErr w:type="spellEnd"/>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Stublāju slapjā puve</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Baltkāja </w:t>
            </w:r>
          </w:p>
        </w:tc>
        <w:tc>
          <w:tcPr>
            <w:tcW w:w="150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077677" w:rsidRPr="00376E4F" w:rsidRDefault="00077677">
            <w:pPr>
              <w:widowControl w:val="0"/>
              <w:rPr>
                <w:rFonts w:asciiTheme="minorHAnsi" w:hAnsiTheme="minorHAnsi"/>
                <w:kern w:val="28"/>
                <w:sz w:val="20"/>
                <w:szCs w:val="20"/>
              </w:rPr>
            </w:pPr>
            <w:r w:rsidRPr="00376E4F">
              <w:rPr>
                <w:rFonts w:asciiTheme="minorHAnsi" w:hAnsiTheme="minorHAnsi"/>
                <w:sz w:val="20"/>
                <w:szCs w:val="20"/>
              </w:rPr>
              <w:t xml:space="preserve">Kartupeļu lapgrauzis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 xml:space="preserve">Maijvaboles </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Sprakšķi</w:t>
            </w:r>
          </w:p>
          <w:p w:rsidR="00077677" w:rsidRPr="00376E4F" w:rsidRDefault="00077677">
            <w:pPr>
              <w:widowControl w:val="0"/>
              <w:rPr>
                <w:rFonts w:asciiTheme="minorHAnsi" w:hAnsiTheme="minorHAnsi"/>
                <w:sz w:val="20"/>
                <w:szCs w:val="20"/>
              </w:rPr>
            </w:pPr>
            <w:r w:rsidRPr="00376E4F">
              <w:rPr>
                <w:rFonts w:asciiTheme="minorHAnsi" w:hAnsiTheme="minorHAnsi"/>
                <w:sz w:val="20"/>
                <w:szCs w:val="20"/>
              </w:rPr>
              <w:t>Pūcītes</w:t>
            </w:r>
          </w:p>
          <w:p w:rsidR="00077677" w:rsidRPr="00376E4F" w:rsidRDefault="00077677">
            <w:pPr>
              <w:widowControl w:val="0"/>
              <w:spacing w:line="285" w:lineRule="auto"/>
              <w:rPr>
                <w:rFonts w:asciiTheme="minorHAnsi" w:hAnsiTheme="minorHAnsi"/>
                <w:kern w:val="28"/>
                <w:sz w:val="20"/>
                <w:szCs w:val="20"/>
              </w:rPr>
            </w:pPr>
            <w:r w:rsidRPr="00376E4F">
              <w:rPr>
                <w:rFonts w:asciiTheme="minorHAnsi" w:hAnsiTheme="minorHAnsi"/>
                <w:sz w:val="20"/>
                <w:szCs w:val="20"/>
              </w:rPr>
              <w:t>Laputis</w:t>
            </w:r>
          </w:p>
        </w:tc>
      </w:tr>
    </w:tbl>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Pirmie ābolu tinēja tauriņi feromonu slazdā tika uztverti ābeļu dārzos Daugavpils un Aglonas novados 25.maijā.</w:t>
      </w:r>
      <w:r w:rsidR="004153BE" w:rsidRPr="00077677">
        <w:rPr>
          <w:rFonts w:asciiTheme="minorHAnsi" w:hAnsiTheme="minorHAnsi"/>
        </w:rPr>
        <w:t xml:space="preserve"> </w:t>
      </w:r>
      <w:r w:rsidRPr="00077677">
        <w:rPr>
          <w:rFonts w:asciiTheme="minorHAnsi" w:hAnsiTheme="minorHAnsi"/>
        </w:rPr>
        <w:t xml:space="preserve">Kritiskais slieksnis (5-10 tauriņi feromonu slazdā nedēļas laikā) vairākos dārzos tika sasniegts, sākot ar 12.jūniju. Pīlādžu </w:t>
      </w:r>
      <w:proofErr w:type="spellStart"/>
      <w:r w:rsidRPr="00077677">
        <w:rPr>
          <w:rFonts w:asciiTheme="minorHAnsi" w:hAnsiTheme="minorHAnsi"/>
        </w:rPr>
        <w:t>tīklkode</w:t>
      </w:r>
      <w:proofErr w:type="spellEnd"/>
      <w:r w:rsidRPr="00077677">
        <w:rPr>
          <w:rFonts w:asciiTheme="minorHAnsi" w:hAnsiTheme="minorHAnsi"/>
        </w:rPr>
        <w:t xml:space="preserve"> izlidoja vēlāk nekā parasti - 6. līdz 12. jūnijā, iepriekšējā sezonā - maija vidū.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Pirmās ābeļu kraupja pazīmes uz lapām konstatētas maija beigās, līdzīgi kā vairākos iepriekšējos gados.</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Bumbieru – kadiķu rūsas pazīmes bumbieru stādījumos parādījās jūnija vidū. Atsevišķos bumbieru dārzos konstatēta masveida bumbieru lapu blusiņas savairošanās.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 xml:space="preserve">Pirmie plūmju tinēja tauriņi feromonu slazdos tika notverti maija vidū tāpat kā 2011. gadā, savukārt masveida lidošana tika novērota sākot no maija beigām līdz pat jūlija beigām (2011.gadā no 10.jūnija līdz jūlija sākumam). </w:t>
      </w:r>
    </w:p>
    <w:p w:rsidR="00077677" w:rsidRPr="00077677" w:rsidRDefault="00077677" w:rsidP="00077677">
      <w:pPr>
        <w:widowControl w:val="0"/>
        <w:spacing w:before="120"/>
        <w:jc w:val="both"/>
        <w:rPr>
          <w:rFonts w:asciiTheme="minorHAnsi" w:hAnsiTheme="minorHAnsi"/>
        </w:rPr>
      </w:pPr>
      <w:r w:rsidRPr="00077677">
        <w:rPr>
          <w:rFonts w:asciiTheme="minorHAnsi" w:hAnsiTheme="minorHAnsi"/>
        </w:rPr>
        <w:t>Informāciju par visiem konstatētajiem kaitīgajiem organismiem ogulājos un augļu dārzos un noliktavās skat. tabulā „Augļu dārzos, augļu noliktavās un ogulāju stādījumos konstatētie kaitīgie organismi 2012. gadā”.</w:t>
      </w:r>
    </w:p>
    <w:p w:rsidR="00671DF0" w:rsidRDefault="00671DF0">
      <w:pPr>
        <w:rPr>
          <w:rFonts w:asciiTheme="minorHAnsi" w:hAnsiTheme="minorHAnsi"/>
          <w:sz w:val="28"/>
        </w:rPr>
      </w:pPr>
      <w:r>
        <w:rPr>
          <w:rFonts w:asciiTheme="minorHAnsi" w:hAnsiTheme="minorHAnsi"/>
          <w:sz w:val="28"/>
        </w:rPr>
        <w:br w:type="page"/>
      </w:r>
    </w:p>
    <w:p w:rsidR="004153BE" w:rsidRPr="004153BE" w:rsidRDefault="004153BE" w:rsidP="004153BE">
      <w:pPr>
        <w:widowControl w:val="0"/>
        <w:shd w:val="clear" w:color="auto" w:fill="DAEEF3" w:themeFill="accent5" w:themeFillTint="33"/>
        <w:spacing w:before="120"/>
        <w:jc w:val="both"/>
        <w:rPr>
          <w:rFonts w:asciiTheme="minorHAnsi" w:hAnsiTheme="minorHAnsi"/>
          <w:sz w:val="28"/>
        </w:rPr>
      </w:pPr>
      <w:r w:rsidRPr="004153BE">
        <w:rPr>
          <w:rFonts w:asciiTheme="minorHAnsi" w:hAnsiTheme="minorHAnsi"/>
          <w:sz w:val="28"/>
        </w:rPr>
        <w:lastRenderedPageBreak/>
        <w:t xml:space="preserve">Augļu dārzos, augļu noliktavās un ogulāju stādījumos konstatētie kaitīgie organismi 2012.gadā </w:t>
      </w:r>
    </w:p>
    <w:p w:rsidR="004153BE" w:rsidRDefault="004153BE" w:rsidP="004153BE">
      <w:r>
        <w:t> </w:t>
      </w:r>
      <w:r w:rsidR="007D1896">
        <w:rPr>
          <w:noProof/>
        </w:rPr>
        <mc:AlternateContent>
          <mc:Choice Requires="wps">
            <w:drawing>
              <wp:anchor distT="36576" distB="36576" distL="36576" distR="36576" simplePos="0" relativeHeight="251712512" behindDoc="0" locked="0" layoutInCell="1" allowOverlap="1" wp14:anchorId="01C703F5" wp14:editId="4AEF8BD2">
                <wp:simplePos x="0" y="0"/>
                <wp:positionH relativeFrom="column">
                  <wp:posOffset>3867150</wp:posOffset>
                </wp:positionH>
                <wp:positionV relativeFrom="paragraph">
                  <wp:posOffset>864235</wp:posOffset>
                </wp:positionV>
                <wp:extent cx="3235960" cy="9138920"/>
                <wp:effectExtent l="0" t="0" r="2540" b="508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5960" cy="91389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304.5pt;margin-top:68.05pt;width:254.8pt;height:719.6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" filled="f" stroked="f" insetpen="t">
                <v:shadow color="#e7dec9"/>
                <o:lock v:ext="edit" shapetype="t"/>
                <v:textbox inset="0,0,0,0"/>
              </v:rect>
            </w:pict>
          </mc:Fallback>
        </mc:AlternateContent>
      </w:r>
    </w:p>
    <w:tbl>
      <w:tblPr>
        <w:tblW w:w="7713" w:type="dxa"/>
        <w:tblCellMar>
          <w:left w:w="0" w:type="dxa"/>
          <w:right w:w="0" w:type="dxa"/>
        </w:tblCellMar>
        <w:tblLook w:val="04A0" w:firstRow="1" w:lastRow="0" w:firstColumn="1" w:lastColumn="0" w:noHBand="0" w:noVBand="1"/>
      </w:tblPr>
      <w:tblGrid>
        <w:gridCol w:w="1901"/>
        <w:gridCol w:w="2977"/>
        <w:gridCol w:w="2835"/>
      </w:tblGrid>
      <w:tr w:rsidR="004153BE" w:rsidRPr="00376E4F" w:rsidTr="004153BE">
        <w:trPr>
          <w:trHeight w:val="706"/>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Kultūraugs</w:t>
            </w:r>
            <w:r w:rsidRPr="00376E4F">
              <w:rPr>
                <w:rFonts w:asciiTheme="minorHAnsi" w:hAnsiTheme="minorHAnsi"/>
                <w:b/>
                <w:bCs/>
                <w:sz w:val="20"/>
                <w:szCs w:val="20"/>
              </w:rPr>
              <w:tab/>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Konstatētās augu slimības</w:t>
            </w:r>
            <w:r w:rsidRPr="00376E4F">
              <w:rPr>
                <w:rFonts w:asciiTheme="minorHAnsi" w:hAnsiTheme="minorHAnsi"/>
                <w:b/>
                <w:bCs/>
                <w:sz w:val="20"/>
                <w:szCs w:val="20"/>
              </w:rPr>
              <w:tab/>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Konstatētie kaitēkļi</w:t>
            </w:r>
          </w:p>
        </w:tc>
      </w:tr>
      <w:tr w:rsidR="004153BE" w:rsidRPr="00376E4F" w:rsidTr="004153BE">
        <w:trPr>
          <w:trHeight w:val="3817"/>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 xml:space="preserve">Ābeles </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Ābeļu kraupis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Ābeļu lapu </w:t>
            </w:r>
            <w:proofErr w:type="spellStart"/>
            <w:r w:rsidRPr="00376E4F">
              <w:rPr>
                <w:rFonts w:asciiTheme="minorHAnsi" w:hAnsiTheme="minorHAnsi"/>
                <w:sz w:val="20"/>
                <w:szCs w:val="20"/>
              </w:rPr>
              <w:t>pelēkplankumainība</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Ābeļu miltrasa</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Augļu parastā puve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Augļu rūgtā puve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Lapu koku jeb parastais vēzis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Sudraboto lapu slimība</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Ābolu tinējs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Ābeļu ziedu smecernieks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Ābeļu lapu blusiņa</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Ābeļu lapu tinējs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Ābeļu lapu </w:t>
            </w:r>
            <w:proofErr w:type="spellStart"/>
            <w:r w:rsidRPr="00376E4F">
              <w:rPr>
                <w:rFonts w:asciiTheme="minorHAnsi" w:hAnsiTheme="minorHAnsi"/>
                <w:sz w:val="20"/>
                <w:szCs w:val="20"/>
              </w:rPr>
              <w:t>pasvilnis</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Ābeļu lapu </w:t>
            </w:r>
            <w:proofErr w:type="spellStart"/>
            <w:r w:rsidRPr="00376E4F">
              <w:rPr>
                <w:rFonts w:asciiTheme="minorHAnsi" w:hAnsiTheme="minorHAnsi"/>
                <w:sz w:val="20"/>
                <w:szCs w:val="20"/>
              </w:rPr>
              <w:t>zāģlapsene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Ābeļu </w:t>
            </w:r>
            <w:proofErr w:type="spellStart"/>
            <w:r w:rsidRPr="00376E4F">
              <w:rPr>
                <w:rFonts w:asciiTheme="minorHAnsi" w:hAnsiTheme="minorHAnsi"/>
                <w:sz w:val="20"/>
                <w:szCs w:val="20"/>
              </w:rPr>
              <w:t>tīklkode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Bruņutis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Eiropas mūķene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Sarkanā augļu koku </w:t>
            </w:r>
            <w:proofErr w:type="spellStart"/>
            <w:r w:rsidRPr="00376E4F">
              <w:rPr>
                <w:rFonts w:asciiTheme="minorHAnsi" w:hAnsiTheme="minorHAnsi"/>
                <w:sz w:val="20"/>
                <w:szCs w:val="20"/>
              </w:rPr>
              <w:t>tīklērce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Ābolu </w:t>
            </w:r>
            <w:proofErr w:type="spellStart"/>
            <w:r w:rsidRPr="00376E4F">
              <w:rPr>
                <w:rFonts w:asciiTheme="minorHAnsi" w:hAnsiTheme="minorHAnsi"/>
                <w:sz w:val="20"/>
                <w:szCs w:val="20"/>
              </w:rPr>
              <w:t>zāģlapsene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Laputis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Maijvaboles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Mazais salnas sprīžmetis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Pīlādžu </w:t>
            </w:r>
            <w:proofErr w:type="spellStart"/>
            <w:r w:rsidRPr="00376E4F">
              <w:rPr>
                <w:rFonts w:asciiTheme="minorHAnsi" w:hAnsiTheme="minorHAnsi"/>
                <w:sz w:val="20"/>
                <w:szCs w:val="20"/>
              </w:rPr>
              <w:t>tīklkode</w:t>
            </w:r>
            <w:proofErr w:type="spellEnd"/>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Ābeļu </w:t>
            </w:r>
            <w:proofErr w:type="spellStart"/>
            <w:r w:rsidRPr="00376E4F">
              <w:rPr>
                <w:rFonts w:asciiTheme="minorHAnsi" w:hAnsiTheme="minorHAnsi"/>
                <w:sz w:val="20"/>
                <w:szCs w:val="20"/>
              </w:rPr>
              <w:t>sarkanpangu</w:t>
            </w:r>
            <w:proofErr w:type="spellEnd"/>
            <w:r w:rsidRPr="00376E4F">
              <w:rPr>
                <w:rFonts w:asciiTheme="minorHAnsi" w:hAnsiTheme="minorHAnsi"/>
                <w:sz w:val="20"/>
                <w:szCs w:val="20"/>
              </w:rPr>
              <w:t xml:space="preserve"> laputs</w:t>
            </w:r>
          </w:p>
        </w:tc>
      </w:tr>
      <w:tr w:rsidR="004153BE" w:rsidRPr="00376E4F" w:rsidTr="004153BE">
        <w:trPr>
          <w:trHeight w:val="1957"/>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 xml:space="preserve">Bumbieres </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Augļu parastā puve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Augļu rūgtā puve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Bumbieru kraupis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Bumbieru – kadiķu rūsa</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Bumbieru lapu </w:t>
            </w:r>
          </w:p>
          <w:p w:rsidR="004153BE" w:rsidRPr="00376E4F" w:rsidRDefault="004153BE">
            <w:pPr>
              <w:widowControl w:val="0"/>
              <w:rPr>
                <w:rFonts w:asciiTheme="minorHAnsi" w:hAnsiTheme="minorHAnsi"/>
                <w:sz w:val="20"/>
                <w:szCs w:val="20"/>
              </w:rPr>
            </w:pPr>
            <w:proofErr w:type="spellStart"/>
            <w:r w:rsidRPr="00376E4F">
              <w:rPr>
                <w:rFonts w:asciiTheme="minorHAnsi" w:hAnsiTheme="minorHAnsi"/>
                <w:sz w:val="20"/>
                <w:szCs w:val="20"/>
              </w:rPr>
              <w:t>brūnplankumainība</w:t>
            </w:r>
            <w:proofErr w:type="spellEnd"/>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Bumbieru lapu </w:t>
            </w:r>
            <w:proofErr w:type="spellStart"/>
            <w:r w:rsidRPr="00376E4F">
              <w:rPr>
                <w:rFonts w:asciiTheme="minorHAnsi" w:hAnsiTheme="minorHAnsi"/>
                <w:sz w:val="20"/>
                <w:szCs w:val="20"/>
              </w:rPr>
              <w:t>pelēkplankumainība</w:t>
            </w:r>
            <w:proofErr w:type="spellEnd"/>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Ābeļu ziedu smecernieks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Bumbieru lapu blusiņa</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Lapu koku </w:t>
            </w:r>
            <w:proofErr w:type="spellStart"/>
            <w:r w:rsidRPr="00376E4F">
              <w:rPr>
                <w:rFonts w:asciiTheme="minorHAnsi" w:hAnsiTheme="minorHAnsi"/>
                <w:sz w:val="20"/>
                <w:szCs w:val="20"/>
              </w:rPr>
              <w:t>tinējsmecernieks</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Laputis </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Bumbieru pangērce</w:t>
            </w:r>
          </w:p>
        </w:tc>
      </w:tr>
      <w:tr w:rsidR="004153BE" w:rsidRPr="00376E4F" w:rsidTr="004153BE">
        <w:trPr>
          <w:trHeight w:val="563"/>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Krūmcidonijas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Augļu rūgtā puve</w:t>
            </w:r>
          </w:p>
          <w:p w:rsidR="004153BE" w:rsidRPr="00376E4F" w:rsidRDefault="004153BE">
            <w:pPr>
              <w:widowControl w:val="0"/>
              <w:spacing w:line="285" w:lineRule="auto"/>
              <w:rPr>
                <w:rFonts w:asciiTheme="minorHAnsi" w:hAnsiTheme="minorHAnsi"/>
                <w:kern w:val="28"/>
                <w:sz w:val="20"/>
                <w:szCs w:val="20"/>
              </w:rPr>
            </w:pPr>
            <w:proofErr w:type="spellStart"/>
            <w:r w:rsidRPr="00376E4F">
              <w:rPr>
                <w:rFonts w:asciiTheme="minorHAnsi" w:hAnsiTheme="minorHAnsi"/>
                <w:sz w:val="20"/>
                <w:szCs w:val="20"/>
              </w:rPr>
              <w:t>Sausplankumainības</w:t>
            </w:r>
            <w:proofErr w:type="spellEnd"/>
            <w:r w:rsidRPr="00376E4F">
              <w:rPr>
                <w:rFonts w:asciiTheme="minorHAnsi" w:hAnsiTheme="minorHAnsi"/>
                <w:sz w:val="20"/>
                <w:szCs w:val="20"/>
              </w:rPr>
              <w:t xml:space="preserve"> </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kern w:val="28"/>
                <w:sz w:val="20"/>
                <w:szCs w:val="20"/>
              </w:rPr>
            </w:pPr>
            <w:r w:rsidRPr="00376E4F">
              <w:rPr>
                <w:rFonts w:asciiTheme="minorHAnsi" w:hAnsiTheme="minorHAnsi"/>
                <w:sz w:val="20"/>
                <w:szCs w:val="20"/>
              </w:rPr>
              <w:t> </w:t>
            </w:r>
          </w:p>
        </w:tc>
      </w:tr>
      <w:tr w:rsidR="004153BE" w:rsidRPr="00376E4F" w:rsidTr="004153BE">
        <w:trPr>
          <w:trHeight w:val="1028"/>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 xml:space="preserve">Ķirši </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Kauleņkoku </w:t>
            </w:r>
            <w:proofErr w:type="spellStart"/>
            <w:r w:rsidRPr="00376E4F">
              <w:rPr>
                <w:rFonts w:asciiTheme="minorHAnsi" w:hAnsiTheme="minorHAnsi"/>
                <w:sz w:val="20"/>
                <w:szCs w:val="20"/>
              </w:rPr>
              <w:t>sausplankumainība</w:t>
            </w:r>
            <w:proofErr w:type="spellEnd"/>
            <w:r w:rsidRPr="00376E4F">
              <w:rPr>
                <w:rFonts w:asciiTheme="minorHAnsi" w:hAnsiTheme="minorHAnsi"/>
                <w:sz w:val="20"/>
                <w:szCs w:val="20"/>
              </w:rPr>
              <w:t xml:space="preserve"> Augļu parastā puve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Ķiršu </w:t>
            </w:r>
            <w:proofErr w:type="spellStart"/>
            <w:r w:rsidRPr="00376E4F">
              <w:rPr>
                <w:rFonts w:asciiTheme="minorHAnsi" w:hAnsiTheme="minorHAnsi"/>
                <w:sz w:val="20"/>
                <w:szCs w:val="20"/>
              </w:rPr>
              <w:t>lapbire</w:t>
            </w:r>
            <w:proofErr w:type="spellEnd"/>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Kauleņkoku pelēkā puve</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Ābeļu lapu </w:t>
            </w:r>
            <w:proofErr w:type="spellStart"/>
            <w:r w:rsidRPr="00376E4F">
              <w:rPr>
                <w:rFonts w:asciiTheme="minorHAnsi" w:hAnsiTheme="minorHAnsi"/>
                <w:sz w:val="20"/>
                <w:szCs w:val="20"/>
              </w:rPr>
              <w:t>pasvilnis</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Ķiršu pumpuru </w:t>
            </w:r>
            <w:proofErr w:type="spellStart"/>
            <w:r w:rsidRPr="00376E4F">
              <w:rPr>
                <w:rFonts w:asciiTheme="minorHAnsi" w:hAnsiTheme="minorHAnsi"/>
                <w:sz w:val="20"/>
                <w:szCs w:val="20"/>
              </w:rPr>
              <w:t>tīklkode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Ķiršu- madaru laputs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Ķiršu muša</w:t>
            </w:r>
          </w:p>
        </w:tc>
      </w:tr>
      <w:tr w:rsidR="004153BE" w:rsidRPr="00376E4F" w:rsidTr="004153BE">
        <w:trPr>
          <w:trHeight w:val="1038"/>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Plūmes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Augļu parastā puve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Kauleņkoku </w:t>
            </w:r>
            <w:proofErr w:type="spellStart"/>
            <w:r w:rsidRPr="00376E4F">
              <w:rPr>
                <w:rFonts w:asciiTheme="minorHAnsi" w:hAnsiTheme="minorHAnsi"/>
                <w:sz w:val="20"/>
                <w:szCs w:val="20"/>
              </w:rPr>
              <w:t>sausplankumainība</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Ķiršu </w:t>
            </w:r>
            <w:proofErr w:type="spellStart"/>
            <w:r w:rsidRPr="00376E4F">
              <w:rPr>
                <w:rFonts w:asciiTheme="minorHAnsi" w:hAnsiTheme="minorHAnsi"/>
                <w:sz w:val="20"/>
                <w:szCs w:val="20"/>
              </w:rPr>
              <w:t>lapbire</w:t>
            </w:r>
            <w:proofErr w:type="spellEnd"/>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Kauleņkoku pelēkā puve</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Augļu koku </w:t>
            </w:r>
            <w:proofErr w:type="spellStart"/>
            <w:r w:rsidRPr="00376E4F">
              <w:rPr>
                <w:rFonts w:asciiTheme="minorHAnsi" w:hAnsiTheme="minorHAnsi"/>
                <w:sz w:val="20"/>
                <w:szCs w:val="20"/>
              </w:rPr>
              <w:t>tīklkode</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Plūmju augļu tinējs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Plūmju </w:t>
            </w:r>
            <w:proofErr w:type="spellStart"/>
            <w:r w:rsidRPr="00376E4F">
              <w:rPr>
                <w:rFonts w:asciiTheme="minorHAnsi" w:hAnsiTheme="minorHAnsi"/>
                <w:sz w:val="20"/>
                <w:szCs w:val="20"/>
              </w:rPr>
              <w:t>zāģlapsenes</w:t>
            </w:r>
            <w:proofErr w:type="spellEnd"/>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Laputis </w:t>
            </w:r>
          </w:p>
        </w:tc>
      </w:tr>
      <w:tr w:rsidR="004153BE" w:rsidRPr="00376E4F" w:rsidTr="004153BE">
        <w:trPr>
          <w:trHeight w:val="1260"/>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Avenes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Aveņu mizas plaisāšana</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Pelēkā puve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Aveņu iedegas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Aveņu lapu </w:t>
            </w:r>
            <w:proofErr w:type="spellStart"/>
            <w:r w:rsidRPr="00376E4F">
              <w:rPr>
                <w:rFonts w:asciiTheme="minorHAnsi" w:hAnsiTheme="minorHAnsi"/>
                <w:sz w:val="20"/>
                <w:szCs w:val="20"/>
              </w:rPr>
              <w:t>baltplankumainība</w:t>
            </w:r>
            <w:proofErr w:type="spellEnd"/>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Avenāju vabole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Aveņu dzinumu </w:t>
            </w:r>
            <w:proofErr w:type="spellStart"/>
            <w:r w:rsidRPr="00376E4F">
              <w:rPr>
                <w:rFonts w:asciiTheme="minorHAnsi" w:hAnsiTheme="minorHAnsi"/>
                <w:sz w:val="20"/>
                <w:szCs w:val="20"/>
              </w:rPr>
              <w:t>pangodiņš</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Aveņu </w:t>
            </w:r>
            <w:proofErr w:type="spellStart"/>
            <w:r w:rsidRPr="00376E4F">
              <w:rPr>
                <w:rFonts w:asciiTheme="minorHAnsi" w:hAnsiTheme="minorHAnsi"/>
                <w:sz w:val="20"/>
                <w:szCs w:val="20"/>
              </w:rPr>
              <w:t>pangodiņš</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Aveņu ziedu smecernieks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Laputis</w:t>
            </w:r>
          </w:p>
        </w:tc>
      </w:tr>
      <w:tr w:rsidR="004153BE" w:rsidRPr="00376E4F" w:rsidTr="004153BE">
        <w:trPr>
          <w:trHeight w:val="1260"/>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Upenes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Ērkšķogu Amerikas miltrasa Ogulāju lapu </w:t>
            </w:r>
            <w:proofErr w:type="spellStart"/>
            <w:r w:rsidRPr="00376E4F">
              <w:rPr>
                <w:rFonts w:asciiTheme="minorHAnsi" w:hAnsiTheme="minorHAnsi"/>
                <w:sz w:val="20"/>
                <w:szCs w:val="20"/>
              </w:rPr>
              <w:t>sīkplankumainība</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Ogu krūmu </w:t>
            </w:r>
            <w:proofErr w:type="spellStart"/>
            <w:r w:rsidRPr="00376E4F">
              <w:rPr>
                <w:rFonts w:asciiTheme="minorHAnsi" w:hAnsiTheme="minorHAnsi"/>
                <w:sz w:val="20"/>
                <w:szCs w:val="20"/>
              </w:rPr>
              <w:t>kausiņrūsa</w:t>
            </w:r>
            <w:proofErr w:type="spellEnd"/>
          </w:p>
          <w:p w:rsidR="004153BE" w:rsidRPr="00376E4F" w:rsidRDefault="004153BE">
            <w:pPr>
              <w:spacing w:line="285" w:lineRule="auto"/>
              <w:rPr>
                <w:rFonts w:asciiTheme="minorHAnsi" w:hAnsiTheme="minorHAnsi"/>
                <w:kern w:val="28"/>
                <w:sz w:val="20"/>
                <w:szCs w:val="20"/>
              </w:rPr>
            </w:pPr>
            <w:r w:rsidRPr="00376E4F">
              <w:rPr>
                <w:rFonts w:asciiTheme="minorHAnsi" w:hAnsiTheme="minorHAnsi"/>
                <w:sz w:val="20"/>
                <w:szCs w:val="20"/>
              </w:rPr>
              <w:t xml:space="preserve">Ogulāju </w:t>
            </w:r>
            <w:proofErr w:type="spellStart"/>
            <w:r w:rsidRPr="00376E4F">
              <w:rPr>
                <w:rFonts w:asciiTheme="minorHAnsi" w:hAnsiTheme="minorHAnsi"/>
                <w:sz w:val="20"/>
                <w:szCs w:val="20"/>
              </w:rPr>
              <w:t>stabiņrūsa</w:t>
            </w:r>
            <w:proofErr w:type="spellEnd"/>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Jāņogulāju pumpuru kode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Upeņu pumpuru ērce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Jāņogulāju </w:t>
            </w:r>
            <w:proofErr w:type="spellStart"/>
            <w:r w:rsidRPr="00376E4F">
              <w:rPr>
                <w:rFonts w:asciiTheme="minorHAnsi" w:hAnsiTheme="minorHAnsi"/>
                <w:sz w:val="20"/>
                <w:szCs w:val="20"/>
              </w:rPr>
              <w:t>stiklspārnis</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Ogulāju lapu tinējs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Laputis </w:t>
            </w:r>
          </w:p>
        </w:tc>
      </w:tr>
      <w:tr w:rsidR="004153BE" w:rsidRPr="00376E4F" w:rsidTr="004153BE">
        <w:trPr>
          <w:trHeight w:val="1493"/>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lastRenderedPageBreak/>
              <w:t>Jāņogas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Ogulāju lapu </w:t>
            </w:r>
            <w:proofErr w:type="spellStart"/>
            <w:r w:rsidRPr="00376E4F">
              <w:rPr>
                <w:rFonts w:asciiTheme="minorHAnsi" w:hAnsiTheme="minorHAnsi"/>
                <w:sz w:val="20"/>
                <w:szCs w:val="20"/>
              </w:rPr>
              <w:t>sīkplankumainība</w:t>
            </w:r>
            <w:proofErr w:type="spellEnd"/>
          </w:p>
          <w:p w:rsidR="004153BE" w:rsidRPr="00376E4F" w:rsidRDefault="004153BE">
            <w:pPr>
              <w:spacing w:line="285" w:lineRule="auto"/>
              <w:rPr>
                <w:rFonts w:asciiTheme="minorHAnsi" w:hAnsiTheme="minorHAnsi"/>
                <w:kern w:val="28"/>
                <w:sz w:val="20"/>
                <w:szCs w:val="20"/>
              </w:rPr>
            </w:pPr>
            <w:r w:rsidRPr="00376E4F">
              <w:rPr>
                <w:rFonts w:asciiTheme="minorHAnsi" w:hAnsiTheme="minorHAnsi"/>
                <w:sz w:val="20"/>
                <w:szCs w:val="20"/>
              </w:rPr>
              <w:t xml:space="preserve">Ogu krūmu </w:t>
            </w:r>
            <w:proofErr w:type="spellStart"/>
            <w:r w:rsidRPr="00376E4F">
              <w:rPr>
                <w:rFonts w:asciiTheme="minorHAnsi" w:hAnsiTheme="minorHAnsi"/>
                <w:sz w:val="20"/>
                <w:szCs w:val="20"/>
              </w:rPr>
              <w:t>kausiņrūsa</w:t>
            </w:r>
            <w:proofErr w:type="spellEnd"/>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Bruņutis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Jāņogulāju </w:t>
            </w:r>
            <w:proofErr w:type="spellStart"/>
            <w:r w:rsidRPr="00376E4F">
              <w:rPr>
                <w:rFonts w:asciiTheme="minorHAnsi" w:hAnsiTheme="minorHAnsi"/>
                <w:sz w:val="20"/>
                <w:szCs w:val="20"/>
              </w:rPr>
              <w:t>sarkanpangu</w:t>
            </w:r>
            <w:proofErr w:type="spellEnd"/>
            <w:r w:rsidRPr="00376E4F">
              <w:rPr>
                <w:rFonts w:asciiTheme="minorHAnsi" w:hAnsiTheme="minorHAnsi"/>
                <w:sz w:val="20"/>
                <w:szCs w:val="20"/>
              </w:rPr>
              <w:t xml:space="preserve"> laputs</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Jāņogulāju </w:t>
            </w:r>
            <w:proofErr w:type="spellStart"/>
            <w:r w:rsidRPr="00376E4F">
              <w:rPr>
                <w:rFonts w:asciiTheme="minorHAnsi" w:hAnsiTheme="minorHAnsi"/>
                <w:sz w:val="20"/>
                <w:szCs w:val="20"/>
              </w:rPr>
              <w:t>stiklspārnis</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Laputis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Ogulāju lapu tinējs </w:t>
            </w:r>
          </w:p>
        </w:tc>
      </w:tr>
      <w:tr w:rsidR="004153BE" w:rsidRPr="00376E4F" w:rsidTr="004153BE">
        <w:trPr>
          <w:trHeight w:val="1270"/>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spacing w:after="120" w:line="285" w:lineRule="auto"/>
              <w:rPr>
                <w:rFonts w:asciiTheme="minorHAnsi" w:hAnsiTheme="minorHAnsi"/>
                <w:b/>
                <w:bCs/>
                <w:kern w:val="28"/>
                <w:sz w:val="20"/>
                <w:szCs w:val="20"/>
              </w:rPr>
            </w:pPr>
            <w:r w:rsidRPr="00376E4F">
              <w:rPr>
                <w:rFonts w:asciiTheme="minorHAnsi" w:hAnsiTheme="minorHAnsi"/>
                <w:b/>
                <w:bCs/>
                <w:sz w:val="20"/>
                <w:szCs w:val="20"/>
              </w:rPr>
              <w:t>Zemenes</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Zemeņu lapu </w:t>
            </w:r>
            <w:proofErr w:type="spellStart"/>
            <w:r w:rsidRPr="00376E4F">
              <w:rPr>
                <w:rFonts w:asciiTheme="minorHAnsi" w:hAnsiTheme="minorHAnsi"/>
                <w:sz w:val="20"/>
                <w:szCs w:val="20"/>
              </w:rPr>
              <w:t>brūnplankumainība</w:t>
            </w:r>
            <w:proofErr w:type="spellEnd"/>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Pelēkā puve</w:t>
            </w:r>
          </w:p>
          <w:p w:rsidR="004153BE" w:rsidRPr="00376E4F" w:rsidRDefault="004153BE">
            <w:pPr>
              <w:spacing w:line="285" w:lineRule="auto"/>
              <w:rPr>
                <w:rFonts w:asciiTheme="minorHAnsi" w:hAnsiTheme="minorHAnsi"/>
                <w:kern w:val="28"/>
                <w:sz w:val="20"/>
                <w:szCs w:val="20"/>
              </w:rPr>
            </w:pPr>
            <w:r w:rsidRPr="00376E4F">
              <w:rPr>
                <w:rFonts w:asciiTheme="minorHAnsi" w:hAnsiTheme="minorHAnsi"/>
                <w:sz w:val="20"/>
                <w:szCs w:val="20"/>
              </w:rPr>
              <w:t xml:space="preserve">Zemeņu lapu </w:t>
            </w:r>
            <w:proofErr w:type="spellStart"/>
            <w:r w:rsidRPr="00376E4F">
              <w:rPr>
                <w:rFonts w:asciiTheme="minorHAnsi" w:hAnsiTheme="minorHAnsi"/>
                <w:sz w:val="20"/>
                <w:szCs w:val="20"/>
              </w:rPr>
              <w:t>baltplankumainība</w:t>
            </w:r>
            <w:proofErr w:type="spellEnd"/>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pPr>
              <w:widowControl w:val="0"/>
              <w:rPr>
                <w:rFonts w:asciiTheme="minorHAnsi" w:hAnsiTheme="minorHAnsi"/>
                <w:kern w:val="28"/>
                <w:sz w:val="20"/>
                <w:szCs w:val="20"/>
              </w:rPr>
            </w:pPr>
            <w:r w:rsidRPr="00376E4F">
              <w:rPr>
                <w:rFonts w:asciiTheme="minorHAnsi" w:hAnsiTheme="minorHAnsi"/>
                <w:sz w:val="20"/>
                <w:szCs w:val="20"/>
              </w:rPr>
              <w:t xml:space="preserve">Aveņu ziedu smecernieks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 xml:space="preserve">Laputis </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Putu cikāde</w:t>
            </w:r>
          </w:p>
          <w:p w:rsidR="004153BE" w:rsidRPr="00376E4F" w:rsidRDefault="004153BE">
            <w:pPr>
              <w:widowControl w:val="0"/>
              <w:rPr>
                <w:rFonts w:asciiTheme="minorHAnsi" w:hAnsiTheme="minorHAnsi"/>
                <w:sz w:val="20"/>
                <w:szCs w:val="20"/>
              </w:rPr>
            </w:pPr>
            <w:r w:rsidRPr="00376E4F">
              <w:rPr>
                <w:rFonts w:asciiTheme="minorHAnsi" w:hAnsiTheme="minorHAnsi"/>
                <w:sz w:val="20"/>
                <w:szCs w:val="20"/>
              </w:rPr>
              <w:t>Zemenāju lapgrauzis</w:t>
            </w:r>
          </w:p>
          <w:p w:rsidR="004153BE" w:rsidRPr="00376E4F" w:rsidRDefault="004153BE">
            <w:pPr>
              <w:widowControl w:val="0"/>
              <w:spacing w:line="285" w:lineRule="auto"/>
              <w:rPr>
                <w:rFonts w:asciiTheme="minorHAnsi" w:hAnsiTheme="minorHAnsi"/>
                <w:kern w:val="28"/>
                <w:sz w:val="20"/>
                <w:szCs w:val="20"/>
              </w:rPr>
            </w:pPr>
            <w:r w:rsidRPr="00376E4F">
              <w:rPr>
                <w:rFonts w:asciiTheme="minorHAnsi" w:hAnsiTheme="minorHAnsi"/>
                <w:sz w:val="20"/>
                <w:szCs w:val="20"/>
              </w:rPr>
              <w:t xml:space="preserve">Zemeņu ērce </w:t>
            </w:r>
          </w:p>
        </w:tc>
      </w:tr>
      <w:tr w:rsidR="004153BE" w:rsidRPr="00376E4F" w:rsidTr="004153BE">
        <w:trPr>
          <w:trHeight w:val="1270"/>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4153BE">
            <w:pPr>
              <w:widowControl w:val="0"/>
              <w:spacing w:after="120" w:line="285" w:lineRule="auto"/>
              <w:rPr>
                <w:rFonts w:asciiTheme="minorHAnsi" w:hAnsiTheme="minorHAnsi"/>
                <w:b/>
                <w:bCs/>
                <w:sz w:val="20"/>
                <w:szCs w:val="20"/>
              </w:rPr>
            </w:pPr>
            <w:proofErr w:type="spellStart"/>
            <w:r w:rsidRPr="00376E4F">
              <w:rPr>
                <w:rFonts w:asciiTheme="minorHAnsi" w:hAnsiTheme="minorHAnsi"/>
                <w:b/>
                <w:bCs/>
                <w:sz w:val="20"/>
                <w:szCs w:val="20"/>
              </w:rPr>
              <w:t>Lielogu</w:t>
            </w:r>
            <w:proofErr w:type="spellEnd"/>
            <w:r w:rsidRPr="00376E4F">
              <w:rPr>
                <w:rFonts w:asciiTheme="minorHAnsi" w:hAnsiTheme="minorHAnsi"/>
                <w:b/>
                <w:bCs/>
                <w:sz w:val="20"/>
                <w:szCs w:val="20"/>
              </w:rPr>
              <w:t xml:space="preserve"> dzērvenes </w:t>
            </w:r>
          </w:p>
          <w:p w:rsidR="004153BE" w:rsidRPr="00376E4F" w:rsidRDefault="004153BE"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 </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5C29DC">
            <w:pPr>
              <w:widowControl w:val="0"/>
              <w:rPr>
                <w:rFonts w:asciiTheme="minorHAnsi" w:hAnsiTheme="minorHAnsi"/>
                <w:sz w:val="20"/>
                <w:szCs w:val="20"/>
              </w:rPr>
            </w:pPr>
            <w:r w:rsidRPr="00376E4F">
              <w:rPr>
                <w:rFonts w:asciiTheme="minorHAnsi" w:hAnsiTheme="minorHAnsi"/>
                <w:sz w:val="20"/>
                <w:szCs w:val="20"/>
              </w:rPr>
              <w:t xml:space="preserve">Dzērveņu ziedu un </w:t>
            </w:r>
            <w:proofErr w:type="spellStart"/>
            <w:r w:rsidRPr="00376E4F">
              <w:rPr>
                <w:rFonts w:asciiTheme="minorHAnsi" w:hAnsiTheme="minorHAnsi"/>
                <w:sz w:val="20"/>
                <w:szCs w:val="20"/>
              </w:rPr>
              <w:t>augļaizmetņu</w:t>
            </w:r>
            <w:proofErr w:type="spellEnd"/>
            <w:r w:rsidRPr="00376E4F">
              <w:rPr>
                <w:rFonts w:asciiTheme="minorHAnsi" w:hAnsiTheme="minorHAnsi"/>
                <w:sz w:val="20"/>
                <w:szCs w:val="20"/>
              </w:rPr>
              <w:t xml:space="preserve"> atmiršana</w:t>
            </w:r>
          </w:p>
          <w:p w:rsidR="004153BE" w:rsidRPr="00376E4F" w:rsidRDefault="004153BE" w:rsidP="005C29DC">
            <w:pPr>
              <w:widowControl w:val="0"/>
              <w:rPr>
                <w:rFonts w:asciiTheme="minorHAnsi" w:hAnsiTheme="minorHAnsi"/>
                <w:sz w:val="20"/>
                <w:szCs w:val="20"/>
              </w:rPr>
            </w:pPr>
            <w:r w:rsidRPr="00376E4F">
              <w:rPr>
                <w:rFonts w:asciiTheme="minorHAnsi" w:hAnsiTheme="minorHAnsi"/>
                <w:sz w:val="20"/>
                <w:szCs w:val="20"/>
              </w:rPr>
              <w:t>Dzērveņu riņķveida puve</w:t>
            </w:r>
          </w:p>
          <w:p w:rsidR="004153BE" w:rsidRPr="00376E4F" w:rsidRDefault="004153BE" w:rsidP="005C29DC">
            <w:pPr>
              <w:widowControl w:val="0"/>
              <w:rPr>
                <w:rFonts w:asciiTheme="minorHAnsi" w:hAnsiTheme="minorHAnsi"/>
                <w:sz w:val="20"/>
                <w:szCs w:val="20"/>
              </w:rPr>
            </w:pPr>
            <w:r w:rsidRPr="00376E4F">
              <w:rPr>
                <w:rFonts w:asciiTheme="minorHAnsi" w:hAnsiTheme="minorHAnsi"/>
                <w:sz w:val="20"/>
                <w:szCs w:val="20"/>
              </w:rPr>
              <w:t>Ogu melnās puves</w:t>
            </w:r>
          </w:p>
          <w:p w:rsidR="004153BE" w:rsidRPr="00376E4F" w:rsidRDefault="004153BE" w:rsidP="004153BE">
            <w:pPr>
              <w:widowControl w:val="0"/>
              <w:rPr>
                <w:rFonts w:asciiTheme="minorHAnsi" w:hAnsiTheme="minorHAnsi"/>
                <w:sz w:val="20"/>
                <w:szCs w:val="20"/>
              </w:rPr>
            </w:pPr>
            <w:r w:rsidRPr="00376E4F">
              <w:rPr>
                <w:rFonts w:asciiTheme="minorHAnsi" w:hAnsiTheme="minorHAnsi"/>
                <w:sz w:val="20"/>
                <w:szCs w:val="20"/>
              </w:rPr>
              <w:t xml:space="preserve">Lapu un dzinumu bojājumi </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4153BE">
            <w:pPr>
              <w:widowControl w:val="0"/>
              <w:rPr>
                <w:rFonts w:asciiTheme="minorHAnsi" w:hAnsiTheme="minorHAnsi"/>
                <w:sz w:val="20"/>
                <w:szCs w:val="20"/>
              </w:rPr>
            </w:pPr>
            <w:r w:rsidRPr="00376E4F">
              <w:rPr>
                <w:rFonts w:asciiTheme="minorHAnsi" w:hAnsiTheme="minorHAnsi"/>
                <w:sz w:val="20"/>
                <w:szCs w:val="20"/>
              </w:rPr>
              <w:t> </w:t>
            </w:r>
          </w:p>
        </w:tc>
      </w:tr>
      <w:tr w:rsidR="004153BE" w:rsidRPr="00376E4F" w:rsidTr="004153BE">
        <w:trPr>
          <w:trHeight w:val="175"/>
        </w:trPr>
        <w:tc>
          <w:tcPr>
            <w:tcW w:w="1901"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5C29DC">
            <w:pPr>
              <w:widowControl w:val="0"/>
              <w:spacing w:after="120" w:line="285" w:lineRule="auto"/>
              <w:rPr>
                <w:rFonts w:asciiTheme="minorHAnsi" w:hAnsiTheme="minorHAnsi"/>
                <w:b/>
                <w:bCs/>
                <w:sz w:val="20"/>
                <w:szCs w:val="20"/>
              </w:rPr>
            </w:pPr>
            <w:proofErr w:type="spellStart"/>
            <w:r w:rsidRPr="00376E4F">
              <w:rPr>
                <w:rFonts w:asciiTheme="minorHAnsi" w:hAnsiTheme="minorHAnsi"/>
                <w:b/>
                <w:bCs/>
                <w:sz w:val="20"/>
                <w:szCs w:val="20"/>
              </w:rPr>
              <w:t>Krūmmellenes</w:t>
            </w:r>
            <w:proofErr w:type="spellEnd"/>
            <w:r w:rsidRPr="00376E4F">
              <w:rPr>
                <w:rFonts w:asciiTheme="minorHAnsi" w:hAnsiTheme="minorHAnsi"/>
                <w:b/>
                <w:bCs/>
                <w:sz w:val="20"/>
                <w:szCs w:val="20"/>
              </w:rPr>
              <w:t xml:space="preserve"> </w:t>
            </w:r>
          </w:p>
        </w:tc>
        <w:tc>
          <w:tcPr>
            <w:tcW w:w="297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4153BE">
            <w:pPr>
              <w:widowControl w:val="0"/>
              <w:rPr>
                <w:rFonts w:asciiTheme="minorHAnsi" w:hAnsiTheme="minorHAnsi"/>
                <w:sz w:val="20"/>
                <w:szCs w:val="20"/>
              </w:rPr>
            </w:pPr>
            <w:r w:rsidRPr="00376E4F">
              <w:rPr>
                <w:rFonts w:asciiTheme="minorHAnsi" w:hAnsiTheme="minorHAnsi"/>
                <w:sz w:val="20"/>
                <w:szCs w:val="20"/>
              </w:rPr>
              <w:t>Pelēkā puve</w:t>
            </w:r>
          </w:p>
        </w:tc>
        <w:tc>
          <w:tcPr>
            <w:tcW w:w="2835"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4153BE" w:rsidRPr="00376E4F" w:rsidRDefault="004153BE" w:rsidP="004153BE">
            <w:pPr>
              <w:widowControl w:val="0"/>
              <w:rPr>
                <w:rFonts w:asciiTheme="minorHAnsi" w:hAnsiTheme="minorHAnsi"/>
                <w:sz w:val="20"/>
                <w:szCs w:val="20"/>
              </w:rPr>
            </w:pPr>
            <w:r w:rsidRPr="00376E4F">
              <w:rPr>
                <w:rFonts w:asciiTheme="minorHAnsi" w:hAnsiTheme="minorHAnsi"/>
                <w:sz w:val="20"/>
                <w:szCs w:val="20"/>
              </w:rPr>
              <w:t> </w:t>
            </w:r>
          </w:p>
        </w:tc>
      </w:tr>
    </w:tbl>
    <w:p w:rsidR="004153BE" w:rsidRDefault="007D1896" w:rsidP="004153BE">
      <w:r>
        <w:rPr>
          <w:noProof/>
        </w:rPr>
        <mc:AlternateContent>
          <mc:Choice Requires="wps">
            <w:drawing>
              <wp:anchor distT="36576" distB="36576" distL="36576" distR="36576" simplePos="0" relativeHeight="251714560" behindDoc="0" locked="0" layoutInCell="1" allowOverlap="1" wp14:anchorId="62D3CB82" wp14:editId="7233315C">
                <wp:simplePos x="0" y="0"/>
                <wp:positionH relativeFrom="column">
                  <wp:posOffset>449580</wp:posOffset>
                </wp:positionH>
                <wp:positionV relativeFrom="paragraph">
                  <wp:posOffset>458470</wp:posOffset>
                </wp:positionV>
                <wp:extent cx="3237230" cy="1612265"/>
                <wp:effectExtent l="0" t="0" r="1270" b="6985"/>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16122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35.4pt;margin-top:36.1pt;width:254.9pt;height:126.95pt;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9B5Q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" filled="f" stroked="f" insetpen="t">
                <v:shadow color="#e7dec9"/>
                <o:lock v:ext="edit" shapetype="t"/>
                <v:textbox inset="0,0,0,0"/>
              </v:rect>
            </w:pict>
          </mc:Fallback>
        </mc:AlternateContent>
      </w:r>
    </w:p>
    <w:p w:rsidR="006A7884" w:rsidRPr="006A7884" w:rsidRDefault="006A7884" w:rsidP="006A7884">
      <w:pPr>
        <w:widowControl w:val="0"/>
        <w:spacing w:before="120"/>
        <w:jc w:val="both"/>
        <w:rPr>
          <w:rFonts w:asciiTheme="minorHAnsi" w:hAnsiTheme="minorHAnsi"/>
        </w:rPr>
      </w:pPr>
      <w:r w:rsidRPr="006A7884">
        <w:rPr>
          <w:rFonts w:asciiTheme="minorHAnsi" w:hAnsiTheme="minorHAnsi"/>
        </w:rPr>
        <w:t xml:space="preserve">Krustziežu </w:t>
      </w:r>
      <w:proofErr w:type="spellStart"/>
      <w:r w:rsidRPr="006A7884">
        <w:rPr>
          <w:rFonts w:asciiTheme="minorHAnsi" w:hAnsiTheme="minorHAnsi"/>
        </w:rPr>
        <w:t>sausplankumainības</w:t>
      </w:r>
      <w:proofErr w:type="spellEnd"/>
      <w:r w:rsidRPr="006A7884">
        <w:rPr>
          <w:rFonts w:asciiTheme="minorHAnsi" w:hAnsiTheme="minorHAnsi"/>
        </w:rPr>
        <w:t xml:space="preserve"> pirmās pazīmes konstatētas kāpostu galviņu veidošanās sākumā.</w:t>
      </w:r>
    </w:p>
    <w:p w:rsidR="006A7884" w:rsidRPr="006A7884" w:rsidRDefault="006A7884" w:rsidP="006A7884">
      <w:pPr>
        <w:widowControl w:val="0"/>
        <w:spacing w:before="120"/>
        <w:jc w:val="both"/>
        <w:rPr>
          <w:rFonts w:asciiTheme="minorHAnsi" w:hAnsiTheme="minorHAnsi"/>
        </w:rPr>
      </w:pPr>
      <w:r w:rsidRPr="006A7884">
        <w:rPr>
          <w:rFonts w:asciiTheme="minorHAnsi" w:hAnsiTheme="minorHAnsi"/>
        </w:rPr>
        <w:t xml:space="preserve">Pirmās pieaugušās </w:t>
      </w:r>
      <w:proofErr w:type="spellStart"/>
      <w:r w:rsidRPr="006A7884">
        <w:rPr>
          <w:rFonts w:asciiTheme="minorHAnsi" w:hAnsiTheme="minorHAnsi"/>
        </w:rPr>
        <w:t>cekulkodes</w:t>
      </w:r>
      <w:proofErr w:type="spellEnd"/>
      <w:r w:rsidRPr="006A7884">
        <w:rPr>
          <w:rFonts w:asciiTheme="minorHAnsi" w:hAnsiTheme="minorHAnsi"/>
        </w:rPr>
        <w:t xml:space="preserve"> kāpostu stādījumos pamanītas maija beigās, pirmo kāpuru šķilšanās – jūnija beigās. Balteņu lidošanas sākums novērots jūnija beigās, savukārt kāpuru pirmie bojājumi novēroti jūlija otrajā nedēļā, tāpat kā iepriekšējos gados. Šajā laikā novērots arī kāpostu pūcītes kāpuru barošanās sākums.</w:t>
      </w:r>
    </w:p>
    <w:p w:rsidR="006A7884" w:rsidRPr="006A7884" w:rsidRDefault="006A7884" w:rsidP="006A7884">
      <w:pPr>
        <w:widowControl w:val="0"/>
        <w:spacing w:before="120"/>
        <w:jc w:val="both"/>
        <w:rPr>
          <w:rFonts w:asciiTheme="minorHAnsi" w:hAnsiTheme="minorHAnsi"/>
        </w:rPr>
      </w:pPr>
      <w:r w:rsidRPr="006A7884">
        <w:rPr>
          <w:rFonts w:asciiTheme="minorHAnsi" w:hAnsiTheme="minorHAnsi"/>
        </w:rPr>
        <w:t xml:space="preserve">Sīpolu lakstu </w:t>
      </w:r>
      <w:proofErr w:type="spellStart"/>
      <w:r w:rsidRPr="006A7884">
        <w:rPr>
          <w:rFonts w:asciiTheme="minorHAnsi" w:hAnsiTheme="minorHAnsi"/>
        </w:rPr>
        <w:t>puskodes</w:t>
      </w:r>
      <w:proofErr w:type="spellEnd"/>
      <w:r w:rsidRPr="006A7884">
        <w:rPr>
          <w:rFonts w:asciiTheme="minorHAnsi" w:hAnsiTheme="minorHAnsi"/>
        </w:rPr>
        <w:t xml:space="preserve"> bojājumi konstatēti vairāk kā pusē no novērotajiem sīpolu laukiem. Sīpolu platībās neīstā miltrasa bija sastopama lielākajā daļā novēroto lauku, tā parādījās sīpolu galviņu veidošanās sākumā. Uz atsevišķiem sīpoliem veģetācijas periodā konstatēta sīpolu baltā puve. </w:t>
      </w:r>
    </w:p>
    <w:p w:rsidR="006A7884" w:rsidRPr="006A7884" w:rsidRDefault="006A7884" w:rsidP="006A7884">
      <w:pPr>
        <w:widowControl w:val="0"/>
        <w:spacing w:before="120"/>
        <w:jc w:val="both"/>
        <w:rPr>
          <w:rFonts w:asciiTheme="minorHAnsi" w:hAnsiTheme="minorHAnsi"/>
        </w:rPr>
      </w:pPr>
      <w:r w:rsidRPr="006A7884">
        <w:rPr>
          <w:rFonts w:asciiTheme="minorHAnsi" w:hAnsiTheme="minorHAnsi"/>
        </w:rPr>
        <w:t>Sīkāku informāciju par dārzeņu platībās satopamajiem kaitīgajiem organismiem skat. tabulā „Dārzeņu sējumos, stādījumos un noliktavās novērotie kaitīgie organismi 2012.gadā”.</w:t>
      </w:r>
      <w:proofErr w:type="gramStart"/>
      <w:r w:rsidRPr="006A7884">
        <w:rPr>
          <w:rFonts w:asciiTheme="minorHAnsi" w:hAnsiTheme="minorHAnsi"/>
        </w:rPr>
        <w:t xml:space="preserve">  </w:t>
      </w:r>
      <w:proofErr w:type="gramEnd"/>
    </w:p>
    <w:p w:rsidR="006A7884" w:rsidRPr="006A7884" w:rsidRDefault="006A7884" w:rsidP="00671DF0">
      <w:pPr>
        <w:widowControl w:val="0"/>
        <w:shd w:val="clear" w:color="auto" w:fill="DAEEF3" w:themeFill="accent5" w:themeFillTint="33"/>
        <w:spacing w:before="120"/>
        <w:jc w:val="both"/>
        <w:rPr>
          <w:rFonts w:asciiTheme="minorHAnsi" w:hAnsiTheme="minorHAnsi"/>
          <w:sz w:val="28"/>
        </w:rPr>
      </w:pPr>
      <w:r w:rsidRPr="006A7884">
        <w:rPr>
          <w:rFonts w:asciiTheme="minorHAnsi" w:hAnsiTheme="minorHAnsi"/>
          <w:sz w:val="28"/>
        </w:rPr>
        <w:t>Dārzeņu sējumos, stādījumos un noliktavās novērotie kaitīgie organismi 2012.gadā</w:t>
      </w:r>
      <w:proofErr w:type="gramStart"/>
      <w:r w:rsidRPr="006A7884">
        <w:rPr>
          <w:rFonts w:asciiTheme="minorHAnsi" w:hAnsiTheme="minorHAnsi"/>
          <w:sz w:val="28"/>
        </w:rPr>
        <w:t xml:space="preserve">  </w:t>
      </w:r>
      <w:proofErr w:type="gramEnd"/>
    </w:p>
    <w:p w:rsidR="006A7884" w:rsidRDefault="006A7884" w:rsidP="006A7884">
      <w:r>
        <w:t> </w:t>
      </w:r>
      <w:r w:rsidR="007D1896">
        <w:rPr>
          <w:noProof/>
        </w:rPr>
        <mc:AlternateContent>
          <mc:Choice Requires="wps">
            <w:drawing>
              <wp:anchor distT="36576" distB="36576" distL="36576" distR="36576" simplePos="0" relativeHeight="251716608" behindDoc="0" locked="0" layoutInCell="1" allowOverlap="1" wp14:anchorId="30F98F48" wp14:editId="70FA968B">
                <wp:simplePos x="0" y="0"/>
                <wp:positionH relativeFrom="column">
                  <wp:posOffset>449580</wp:posOffset>
                </wp:positionH>
                <wp:positionV relativeFrom="paragraph">
                  <wp:posOffset>5866765</wp:posOffset>
                </wp:positionV>
                <wp:extent cx="3263900" cy="4246245"/>
                <wp:effectExtent l="0" t="0" r="12700" b="1905"/>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63900" cy="424624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35.4pt;margin-top:461.95pt;width:257pt;height:334.35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E285AIAAPc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" filled="f" stroked="f" insetpen="t">
                <v:shadow color="#e7dec9"/>
                <o:lock v:ext="edit" shapetype="t"/>
                <v:textbox inset="0,0,0,0"/>
              </v:rect>
            </w:pict>
          </mc:Fallback>
        </mc:AlternateContent>
      </w:r>
    </w:p>
    <w:tbl>
      <w:tblPr>
        <w:tblW w:w="8422" w:type="dxa"/>
        <w:tblCellMar>
          <w:left w:w="0" w:type="dxa"/>
          <w:right w:w="0" w:type="dxa"/>
        </w:tblCellMar>
        <w:tblLook w:val="04A0" w:firstRow="1" w:lastRow="0" w:firstColumn="1" w:lastColumn="0" w:noHBand="0" w:noVBand="1"/>
      </w:tblPr>
      <w:tblGrid>
        <w:gridCol w:w="2043"/>
        <w:gridCol w:w="3827"/>
        <w:gridCol w:w="2552"/>
      </w:tblGrid>
      <w:tr w:rsidR="006A7884" w:rsidRPr="00376E4F" w:rsidTr="006A7884">
        <w:trPr>
          <w:trHeight w:val="22"/>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b/>
                <w:sz w:val="20"/>
                <w:szCs w:val="20"/>
              </w:rPr>
            </w:pPr>
            <w:r w:rsidRPr="00376E4F">
              <w:rPr>
                <w:rFonts w:asciiTheme="minorHAnsi" w:hAnsiTheme="minorHAnsi"/>
                <w:b/>
                <w:sz w:val="20"/>
                <w:szCs w:val="20"/>
              </w:rPr>
              <w:t>Kultūraugs</w:t>
            </w:r>
            <w:r w:rsidRPr="00376E4F">
              <w:rPr>
                <w:rFonts w:asciiTheme="minorHAnsi" w:hAnsiTheme="minorHAnsi"/>
                <w:b/>
                <w:sz w:val="20"/>
                <w:szCs w:val="20"/>
              </w:rPr>
              <w:tab/>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b/>
                <w:sz w:val="20"/>
                <w:szCs w:val="20"/>
              </w:rPr>
            </w:pPr>
            <w:r w:rsidRPr="00376E4F">
              <w:rPr>
                <w:rFonts w:asciiTheme="minorHAnsi" w:hAnsiTheme="minorHAnsi"/>
                <w:b/>
                <w:sz w:val="20"/>
                <w:szCs w:val="20"/>
              </w:rPr>
              <w:t>Konstatētās augu slimības</w:t>
            </w:r>
            <w:r w:rsidRPr="00376E4F">
              <w:rPr>
                <w:rFonts w:asciiTheme="minorHAnsi" w:hAnsiTheme="minorHAnsi"/>
                <w:b/>
                <w:sz w:val="20"/>
                <w:szCs w:val="20"/>
              </w:rPr>
              <w:tab/>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b/>
                <w:sz w:val="20"/>
                <w:szCs w:val="20"/>
              </w:rPr>
            </w:pPr>
            <w:r w:rsidRPr="00376E4F">
              <w:rPr>
                <w:rFonts w:asciiTheme="minorHAnsi" w:hAnsiTheme="minorHAnsi"/>
                <w:b/>
                <w:sz w:val="20"/>
                <w:szCs w:val="20"/>
              </w:rPr>
              <w:t>Konstatētie kaitēkļi</w:t>
            </w:r>
          </w:p>
        </w:tc>
      </w:tr>
      <w:tr w:rsidR="006A7884" w:rsidRPr="00376E4F" w:rsidTr="006A7884">
        <w:trPr>
          <w:trHeight w:val="1983"/>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sz w:val="20"/>
                <w:szCs w:val="20"/>
              </w:rPr>
            </w:pPr>
            <w:r w:rsidRPr="00376E4F">
              <w:rPr>
                <w:rFonts w:asciiTheme="minorHAnsi" w:hAnsiTheme="minorHAnsi"/>
                <w:b/>
                <w:bCs/>
                <w:sz w:val="20"/>
                <w:szCs w:val="20"/>
              </w:rPr>
              <w:t>Galviņkāposti</w:t>
            </w:r>
            <w:r w:rsidRPr="00376E4F">
              <w:rPr>
                <w:rFonts w:asciiTheme="minorHAnsi" w:hAnsiTheme="minorHAnsi"/>
                <w:sz w:val="20"/>
                <w:szCs w:val="20"/>
              </w:rPr>
              <w:t xml:space="preserve"> </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Kāpostu </w:t>
            </w:r>
            <w:proofErr w:type="spellStart"/>
            <w:r w:rsidRPr="00376E4F">
              <w:rPr>
                <w:rFonts w:asciiTheme="minorHAnsi" w:hAnsiTheme="minorHAnsi"/>
                <w:sz w:val="20"/>
                <w:szCs w:val="20"/>
              </w:rPr>
              <w:t>gredzenplankumainība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sausplankumainība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Krustziežu sausā puve</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Krustziežu sakņu augoņi</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Dārzeņu slapjā puve</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Pelēkā puve</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Baltā puve</w:t>
            </w:r>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Krustziežu tumšā bakteriālā puve</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Balteņi</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alotājmuša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Kāpostu agrā muša</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Kāpostu </w:t>
            </w:r>
            <w:proofErr w:type="spellStart"/>
            <w:r w:rsidRPr="00376E4F">
              <w:rPr>
                <w:rFonts w:asciiTheme="minorHAnsi" w:hAnsiTheme="minorHAnsi"/>
                <w:sz w:val="20"/>
                <w:szCs w:val="20"/>
              </w:rPr>
              <w:t>cekulkode</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Kāpostu pūcīte</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Laputis</w:t>
            </w:r>
          </w:p>
          <w:p w:rsidR="006A7884" w:rsidRPr="00376E4F" w:rsidRDefault="006A7884">
            <w:pPr>
              <w:widowControl w:val="0"/>
              <w:rPr>
                <w:rFonts w:asciiTheme="minorHAnsi" w:hAnsiTheme="minorHAnsi"/>
                <w:sz w:val="20"/>
                <w:szCs w:val="20"/>
              </w:rPr>
            </w:pPr>
            <w:proofErr w:type="spellStart"/>
            <w:r w:rsidRPr="00376E4F">
              <w:rPr>
                <w:rFonts w:asciiTheme="minorHAnsi" w:hAnsiTheme="minorHAnsi"/>
                <w:sz w:val="20"/>
                <w:szCs w:val="20"/>
              </w:rPr>
              <w:t>Mīkstgliemeži</w:t>
            </w:r>
            <w:proofErr w:type="spellEnd"/>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Spradži</w:t>
            </w:r>
          </w:p>
        </w:tc>
      </w:tr>
      <w:tr w:rsidR="006A7884" w:rsidRPr="00376E4F" w:rsidTr="006A7884">
        <w:trPr>
          <w:trHeight w:val="708"/>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sz w:val="20"/>
                <w:szCs w:val="20"/>
              </w:rPr>
            </w:pPr>
            <w:r w:rsidRPr="00376E4F">
              <w:rPr>
                <w:rFonts w:asciiTheme="minorHAnsi" w:hAnsiTheme="minorHAnsi"/>
                <w:b/>
                <w:bCs/>
                <w:sz w:val="20"/>
                <w:szCs w:val="20"/>
              </w:rPr>
              <w:t>Ziedkāposti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Krustziežu sausā puve</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sausplankumainība</w:t>
            </w:r>
            <w:proofErr w:type="spellEnd"/>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Dārzeņu slapjā puve</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Balteņi</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Kāpostu </w:t>
            </w:r>
            <w:proofErr w:type="spellStart"/>
            <w:r w:rsidRPr="00376E4F">
              <w:rPr>
                <w:rFonts w:asciiTheme="minorHAnsi" w:hAnsiTheme="minorHAnsi"/>
                <w:sz w:val="20"/>
                <w:szCs w:val="20"/>
              </w:rPr>
              <w:t>cekulkode</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alotājmuša</w:t>
            </w:r>
            <w:proofErr w:type="spellEnd"/>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Spradži</w:t>
            </w:r>
          </w:p>
        </w:tc>
      </w:tr>
      <w:tr w:rsidR="006A7884" w:rsidRPr="00376E4F" w:rsidTr="006A7884">
        <w:trPr>
          <w:trHeight w:val="1260"/>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lastRenderedPageBreak/>
              <w:t xml:space="preserve">Burkāni </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Burkānu lapu </w:t>
            </w:r>
            <w:proofErr w:type="spellStart"/>
            <w:r w:rsidRPr="00376E4F">
              <w:rPr>
                <w:rFonts w:asciiTheme="minorHAnsi" w:hAnsiTheme="minorHAnsi"/>
                <w:sz w:val="20"/>
                <w:szCs w:val="20"/>
              </w:rPr>
              <w:t>brūnplankumainība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Burkānu lapu </w:t>
            </w:r>
            <w:proofErr w:type="spellStart"/>
            <w:r w:rsidRPr="00376E4F">
              <w:rPr>
                <w:rFonts w:asciiTheme="minorHAnsi" w:hAnsiTheme="minorHAnsi"/>
                <w:sz w:val="20"/>
                <w:szCs w:val="20"/>
              </w:rPr>
              <w:t>sausplankumainība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Burkānu lapu </w:t>
            </w:r>
            <w:proofErr w:type="spellStart"/>
            <w:r w:rsidRPr="00376E4F">
              <w:rPr>
                <w:rFonts w:asciiTheme="minorHAnsi" w:hAnsiTheme="minorHAnsi"/>
                <w:sz w:val="20"/>
                <w:szCs w:val="20"/>
              </w:rPr>
              <w:t>gaišplankumainība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Čemurziežu melnā puve</w:t>
            </w:r>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Dārzeņu slapjā puve</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Burkānu lapu blusiņa</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Burkānu muša</w:t>
            </w:r>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 </w:t>
            </w:r>
          </w:p>
        </w:tc>
      </w:tr>
      <w:tr w:rsidR="006A7884" w:rsidRPr="00376E4F" w:rsidTr="006A7884">
        <w:trPr>
          <w:trHeight w:val="1270"/>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Sīpoli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Sīpolu neīstā miltrasa</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Sīpolu baltā puve</w:t>
            </w:r>
          </w:p>
          <w:p w:rsidR="006A7884" w:rsidRPr="00376E4F" w:rsidRDefault="006A7884">
            <w:pPr>
              <w:widowControl w:val="0"/>
              <w:rPr>
                <w:rFonts w:asciiTheme="minorHAnsi" w:hAnsiTheme="minorHAnsi"/>
                <w:sz w:val="20"/>
                <w:szCs w:val="20"/>
              </w:rPr>
            </w:pPr>
            <w:proofErr w:type="spellStart"/>
            <w:r w:rsidRPr="00376E4F">
              <w:rPr>
                <w:rFonts w:asciiTheme="minorHAnsi" w:hAnsiTheme="minorHAnsi"/>
                <w:sz w:val="20"/>
                <w:szCs w:val="20"/>
              </w:rPr>
              <w:t>Sausplankumainības</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Pelēkā puve</w:t>
            </w:r>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Sīpolaugu sakņu puves </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Sīpolu lapu </w:t>
            </w:r>
            <w:proofErr w:type="spellStart"/>
            <w:r w:rsidRPr="00376E4F">
              <w:rPr>
                <w:rFonts w:asciiTheme="minorHAnsi" w:hAnsiTheme="minorHAnsi"/>
                <w:sz w:val="20"/>
                <w:szCs w:val="20"/>
              </w:rPr>
              <w:t>alotājmuša</w:t>
            </w:r>
            <w:proofErr w:type="spellEnd"/>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Sīpolu lakstu </w:t>
            </w:r>
            <w:proofErr w:type="spellStart"/>
            <w:r w:rsidRPr="00376E4F">
              <w:rPr>
                <w:rFonts w:asciiTheme="minorHAnsi" w:hAnsiTheme="minorHAnsi"/>
                <w:sz w:val="20"/>
                <w:szCs w:val="20"/>
              </w:rPr>
              <w:t>puskode</w:t>
            </w:r>
            <w:proofErr w:type="spellEnd"/>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 </w:t>
            </w:r>
          </w:p>
        </w:tc>
      </w:tr>
      <w:tr w:rsidR="00376E4F" w:rsidRPr="00376E4F" w:rsidTr="00376E4F">
        <w:trPr>
          <w:trHeight w:val="798"/>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Zirņi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Zirņu iedegas</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Neīstā miltrasa</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Tumšais zirņu tinējs</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Tauriņziežu smecernieki</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Laputis</w:t>
            </w:r>
          </w:p>
        </w:tc>
      </w:tr>
      <w:tr w:rsidR="006A7884" w:rsidRPr="00376E4F" w:rsidTr="006A7884">
        <w:trPr>
          <w:trHeight w:val="1270"/>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Lauka pupas</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 xml:space="preserve">Pupu </w:t>
            </w:r>
            <w:proofErr w:type="spellStart"/>
            <w:r w:rsidRPr="00376E4F">
              <w:rPr>
                <w:rFonts w:asciiTheme="minorHAnsi" w:hAnsiTheme="minorHAnsi"/>
                <w:sz w:val="20"/>
                <w:szCs w:val="20"/>
              </w:rPr>
              <w:t>brūnplankumainība</w:t>
            </w:r>
            <w:proofErr w:type="spellEnd"/>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Pupu koncentriskā plankumainība</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Pelēkā puve</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Pupiņu iedegas</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Gurķu dīgstu muša</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Pupu laputs</w:t>
            </w:r>
          </w:p>
        </w:tc>
      </w:tr>
      <w:tr w:rsidR="006A7884" w:rsidRPr="00376E4F" w:rsidTr="006A7884">
        <w:trPr>
          <w:trHeight w:val="1270"/>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Galda bietes</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 xml:space="preserve">Biešu lapu </w:t>
            </w:r>
            <w:proofErr w:type="spellStart"/>
            <w:r w:rsidRPr="00376E4F">
              <w:rPr>
                <w:rFonts w:asciiTheme="minorHAnsi" w:hAnsiTheme="minorHAnsi"/>
                <w:sz w:val="20"/>
                <w:szCs w:val="20"/>
              </w:rPr>
              <w:t>sarmplankumainība</w:t>
            </w:r>
            <w:proofErr w:type="spellEnd"/>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 xml:space="preserve">Biešu lapu </w:t>
            </w:r>
            <w:proofErr w:type="spellStart"/>
            <w:r w:rsidRPr="00376E4F">
              <w:rPr>
                <w:rFonts w:asciiTheme="minorHAnsi" w:hAnsiTheme="minorHAnsi"/>
                <w:sz w:val="20"/>
                <w:szCs w:val="20"/>
              </w:rPr>
              <w:t>sīkplankumainība</w:t>
            </w:r>
            <w:proofErr w:type="spellEnd"/>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Biešu lapu brūnēšana</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Dīgstu puve</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Joslainā plankumainība</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Parastais kraupis</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proofErr w:type="spellStart"/>
            <w:r w:rsidRPr="00376E4F">
              <w:rPr>
                <w:rFonts w:asciiTheme="minorHAnsi" w:hAnsiTheme="minorHAnsi"/>
                <w:sz w:val="20"/>
                <w:szCs w:val="20"/>
              </w:rPr>
              <w:t>Alotājmušas</w:t>
            </w:r>
            <w:proofErr w:type="spellEnd"/>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Biešu kapracis</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Spradži</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Laputis</w:t>
            </w:r>
          </w:p>
        </w:tc>
      </w:tr>
      <w:tr w:rsidR="006A7884" w:rsidRPr="00376E4F" w:rsidTr="006A7884">
        <w:trPr>
          <w:trHeight w:val="261"/>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Sakņu selerijas</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 xml:space="preserve">Seleriju lapu </w:t>
            </w:r>
            <w:proofErr w:type="spellStart"/>
            <w:r w:rsidRPr="00376E4F">
              <w:rPr>
                <w:rFonts w:asciiTheme="minorHAnsi" w:hAnsiTheme="minorHAnsi"/>
                <w:sz w:val="20"/>
                <w:szCs w:val="20"/>
              </w:rPr>
              <w:t>gaišplankumainība</w:t>
            </w:r>
            <w:proofErr w:type="spellEnd"/>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Burkānu muša</w:t>
            </w:r>
          </w:p>
          <w:p w:rsidR="006A7884" w:rsidRPr="00376E4F" w:rsidRDefault="006A7884" w:rsidP="006A7884">
            <w:pPr>
              <w:widowControl w:val="0"/>
              <w:rPr>
                <w:rFonts w:asciiTheme="minorHAnsi" w:hAnsiTheme="minorHAnsi"/>
                <w:sz w:val="20"/>
                <w:szCs w:val="20"/>
              </w:rPr>
            </w:pPr>
            <w:proofErr w:type="spellStart"/>
            <w:r w:rsidRPr="00376E4F">
              <w:rPr>
                <w:rFonts w:asciiTheme="minorHAnsi" w:hAnsiTheme="minorHAnsi"/>
                <w:sz w:val="20"/>
                <w:szCs w:val="20"/>
              </w:rPr>
              <w:t>Alotājmušas</w:t>
            </w:r>
            <w:proofErr w:type="spellEnd"/>
          </w:p>
        </w:tc>
      </w:tr>
      <w:tr w:rsidR="006A7884" w:rsidRPr="00376E4F" w:rsidTr="006A7884">
        <w:trPr>
          <w:trHeight w:val="64"/>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Puravi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Sīpolaugu sakņu puves</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 </w:t>
            </w:r>
          </w:p>
        </w:tc>
      </w:tr>
      <w:tr w:rsidR="006A7884" w:rsidRPr="00376E4F" w:rsidTr="006A7884">
        <w:trPr>
          <w:trHeight w:val="920"/>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Lauka gurķi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Gurķu kraupis</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 xml:space="preserve">Ķirbjaugu lapu </w:t>
            </w:r>
            <w:proofErr w:type="spellStart"/>
            <w:r w:rsidRPr="00376E4F">
              <w:rPr>
                <w:rFonts w:asciiTheme="minorHAnsi" w:hAnsiTheme="minorHAnsi"/>
                <w:sz w:val="20"/>
                <w:szCs w:val="20"/>
              </w:rPr>
              <w:t>sīkplankumainība</w:t>
            </w:r>
            <w:proofErr w:type="spellEnd"/>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Gurķu bakteriālā plankumainība</w:t>
            </w:r>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Gurķu neīstā miltrasa</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proofErr w:type="spellStart"/>
            <w:r w:rsidRPr="00376E4F">
              <w:rPr>
                <w:rFonts w:asciiTheme="minorHAnsi" w:hAnsiTheme="minorHAnsi"/>
                <w:sz w:val="20"/>
                <w:szCs w:val="20"/>
              </w:rPr>
              <w:t>Alotājmušas</w:t>
            </w:r>
            <w:proofErr w:type="spellEnd"/>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 </w:t>
            </w:r>
          </w:p>
        </w:tc>
      </w:tr>
      <w:tr w:rsidR="006A7884" w:rsidRPr="00376E4F" w:rsidTr="006A7884">
        <w:trPr>
          <w:trHeight w:val="514"/>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Kāļi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 xml:space="preserve">Krustziežu </w:t>
            </w:r>
            <w:proofErr w:type="spellStart"/>
            <w:r w:rsidRPr="00376E4F">
              <w:rPr>
                <w:rFonts w:asciiTheme="minorHAnsi" w:hAnsiTheme="minorHAnsi"/>
                <w:sz w:val="20"/>
                <w:szCs w:val="20"/>
              </w:rPr>
              <w:t>sausplankumainība</w:t>
            </w:r>
            <w:proofErr w:type="spellEnd"/>
          </w:p>
          <w:p w:rsidR="006A7884" w:rsidRPr="00376E4F" w:rsidRDefault="006A7884" w:rsidP="006A7884">
            <w:pPr>
              <w:widowControl w:val="0"/>
              <w:rPr>
                <w:rFonts w:asciiTheme="minorHAnsi" w:hAnsiTheme="minorHAnsi"/>
                <w:sz w:val="20"/>
                <w:szCs w:val="20"/>
              </w:rPr>
            </w:pPr>
            <w:r w:rsidRPr="00376E4F">
              <w:rPr>
                <w:rFonts w:asciiTheme="minorHAnsi" w:hAnsiTheme="minorHAnsi"/>
                <w:sz w:val="20"/>
                <w:szCs w:val="20"/>
              </w:rPr>
              <w:t>Krustziežu sausā puve</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Spradži</w:t>
            </w:r>
          </w:p>
          <w:p w:rsidR="006A7884" w:rsidRPr="00376E4F" w:rsidRDefault="006A7884" w:rsidP="005C29DC">
            <w:pPr>
              <w:widowControl w:val="0"/>
              <w:rPr>
                <w:rFonts w:asciiTheme="minorHAnsi" w:hAnsiTheme="minorHAnsi"/>
                <w:sz w:val="20"/>
                <w:szCs w:val="20"/>
              </w:rPr>
            </w:pPr>
            <w:r w:rsidRPr="00376E4F">
              <w:rPr>
                <w:rFonts w:asciiTheme="minorHAnsi" w:hAnsiTheme="minorHAnsi"/>
                <w:sz w:val="20"/>
                <w:szCs w:val="20"/>
              </w:rPr>
              <w:t>Balteņi</w:t>
            </w:r>
          </w:p>
          <w:p w:rsidR="006A7884" w:rsidRPr="00376E4F" w:rsidRDefault="006A7884" w:rsidP="006A7884">
            <w:pPr>
              <w:widowControl w:val="0"/>
              <w:rPr>
                <w:rFonts w:asciiTheme="minorHAnsi" w:hAnsiTheme="minorHAnsi"/>
                <w:sz w:val="20"/>
                <w:szCs w:val="20"/>
              </w:rPr>
            </w:pPr>
            <w:proofErr w:type="spellStart"/>
            <w:r w:rsidRPr="00376E4F">
              <w:rPr>
                <w:rFonts w:asciiTheme="minorHAnsi" w:hAnsiTheme="minorHAnsi"/>
                <w:sz w:val="20"/>
                <w:szCs w:val="20"/>
              </w:rPr>
              <w:t>Mīkstgliemeži</w:t>
            </w:r>
            <w:proofErr w:type="spellEnd"/>
          </w:p>
        </w:tc>
      </w:tr>
    </w:tbl>
    <w:p w:rsidR="006A7884" w:rsidRPr="006A7884" w:rsidRDefault="006A7884" w:rsidP="006A7884">
      <w:pPr>
        <w:widowControl w:val="0"/>
        <w:spacing w:before="120"/>
        <w:jc w:val="both"/>
        <w:rPr>
          <w:rFonts w:asciiTheme="minorHAnsi" w:hAnsiTheme="minorHAnsi"/>
        </w:rPr>
      </w:pPr>
      <w:r w:rsidRPr="006A7884">
        <w:rPr>
          <w:rFonts w:asciiTheme="minorHAnsi" w:hAnsiTheme="minorHAnsi"/>
        </w:rPr>
        <w:t>Tabulā „Griķu, kukurūzas un kaņepju sējumos konstatētie kaitīgie organismi 2012. gadā” apkopota informācija par kukurūzas, griķu un kaņepju platībās satopamajiem kaitīgajiem organismiem.</w:t>
      </w:r>
    </w:p>
    <w:p w:rsidR="006A7884" w:rsidRDefault="006A7884" w:rsidP="006A7884">
      <w:pPr>
        <w:widowControl w:val="0"/>
      </w:pPr>
      <w:r>
        <w:t> </w:t>
      </w:r>
    </w:p>
    <w:tbl>
      <w:tblPr>
        <w:tblW w:w="8422" w:type="dxa"/>
        <w:tblCellMar>
          <w:left w:w="0" w:type="dxa"/>
          <w:right w:w="0" w:type="dxa"/>
        </w:tblCellMar>
        <w:tblLook w:val="04A0" w:firstRow="1" w:lastRow="0" w:firstColumn="1" w:lastColumn="0" w:noHBand="0" w:noVBand="1"/>
      </w:tblPr>
      <w:tblGrid>
        <w:gridCol w:w="2043"/>
        <w:gridCol w:w="3827"/>
        <w:gridCol w:w="2552"/>
      </w:tblGrid>
      <w:tr w:rsidR="006A7884" w:rsidRPr="00376E4F" w:rsidTr="006A7884">
        <w:trPr>
          <w:trHeight w:val="169"/>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7D1896" w:rsidP="006A7884">
            <w:pPr>
              <w:widowControl w:val="0"/>
              <w:rPr>
                <w:rFonts w:asciiTheme="minorHAnsi" w:hAnsiTheme="minorHAnsi"/>
                <w:b/>
                <w:sz w:val="20"/>
                <w:szCs w:val="20"/>
              </w:rPr>
            </w:pPr>
            <w:r w:rsidRPr="00376E4F">
              <w:rPr>
                <w:b/>
                <w:noProof/>
              </w:rPr>
              <mc:AlternateContent>
                <mc:Choice Requires="wps">
                  <w:drawing>
                    <wp:anchor distT="36576" distB="36576" distL="36576" distR="36576" simplePos="0" relativeHeight="251720704" behindDoc="0" locked="0" layoutInCell="1" allowOverlap="1" wp14:anchorId="65B62667" wp14:editId="17EC1FE0">
                      <wp:simplePos x="0" y="0"/>
                      <wp:positionH relativeFrom="column">
                        <wp:posOffset>3846830</wp:posOffset>
                      </wp:positionH>
                      <wp:positionV relativeFrom="paragraph">
                        <wp:posOffset>5728970</wp:posOffset>
                      </wp:positionV>
                      <wp:extent cx="3237230" cy="1316990"/>
                      <wp:effectExtent l="0" t="0" r="1270" b="1651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13169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302.9pt;margin-top:451.1pt;width:254.9pt;height:103.7pt;z-index:251720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" filled="f" stroked="f" insetpen="t">
                      <v:shadow color="#e7dec9"/>
                      <o:lock v:ext="edit" shapetype="t"/>
                      <v:textbox inset="0,0,0,0"/>
                    </v:rect>
                  </w:pict>
                </mc:Fallback>
              </mc:AlternateContent>
            </w:r>
            <w:r w:rsidR="006A7884" w:rsidRPr="00376E4F">
              <w:rPr>
                <w:rFonts w:asciiTheme="minorHAnsi" w:hAnsiTheme="minorHAnsi"/>
                <w:b/>
                <w:sz w:val="20"/>
                <w:szCs w:val="20"/>
              </w:rPr>
              <w:t>Kultūraugs</w:t>
            </w:r>
            <w:r w:rsidR="006A7884" w:rsidRPr="00376E4F">
              <w:rPr>
                <w:rFonts w:asciiTheme="minorHAnsi" w:hAnsiTheme="minorHAnsi"/>
                <w:b/>
                <w:sz w:val="20"/>
                <w:szCs w:val="20"/>
              </w:rPr>
              <w:tab/>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b/>
                <w:sz w:val="20"/>
                <w:szCs w:val="20"/>
              </w:rPr>
            </w:pPr>
            <w:r w:rsidRPr="00376E4F">
              <w:rPr>
                <w:rFonts w:asciiTheme="minorHAnsi" w:hAnsiTheme="minorHAnsi"/>
                <w:b/>
                <w:sz w:val="20"/>
                <w:szCs w:val="20"/>
              </w:rPr>
              <w:t>Konstatētās augu slimības</w:t>
            </w:r>
            <w:r w:rsidRPr="00376E4F">
              <w:rPr>
                <w:rFonts w:asciiTheme="minorHAnsi" w:hAnsiTheme="minorHAnsi"/>
                <w:b/>
                <w:sz w:val="20"/>
                <w:szCs w:val="20"/>
              </w:rPr>
              <w:tab/>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rPr>
                <w:rFonts w:asciiTheme="minorHAnsi" w:hAnsiTheme="minorHAnsi"/>
                <w:b/>
                <w:sz w:val="20"/>
                <w:szCs w:val="20"/>
              </w:rPr>
            </w:pPr>
            <w:r w:rsidRPr="00376E4F">
              <w:rPr>
                <w:rFonts w:asciiTheme="minorHAnsi" w:hAnsiTheme="minorHAnsi"/>
                <w:b/>
                <w:sz w:val="20"/>
                <w:szCs w:val="20"/>
              </w:rPr>
              <w:t>Konstatētie kaitēkļi</w:t>
            </w:r>
          </w:p>
        </w:tc>
      </w:tr>
      <w:tr w:rsidR="006A7884" w:rsidRPr="00376E4F" w:rsidTr="006A7884">
        <w:trPr>
          <w:trHeight w:val="563"/>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Griķi</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Sūreņu lapu plankumainība</w:t>
            </w:r>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Spradži</w:t>
            </w:r>
          </w:p>
          <w:p w:rsidR="006A7884" w:rsidRPr="00376E4F" w:rsidRDefault="006A7884">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Alotājmušas</w:t>
            </w:r>
            <w:proofErr w:type="spellEnd"/>
          </w:p>
        </w:tc>
      </w:tr>
      <w:tr w:rsidR="006A7884" w:rsidRPr="00376E4F" w:rsidTr="006A7884">
        <w:trPr>
          <w:trHeight w:val="805"/>
        </w:trPr>
        <w:tc>
          <w:tcPr>
            <w:tcW w:w="2043"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rsidP="006A7884">
            <w:pPr>
              <w:widowControl w:val="0"/>
              <w:spacing w:after="120" w:line="285" w:lineRule="auto"/>
              <w:rPr>
                <w:rFonts w:asciiTheme="minorHAnsi" w:hAnsiTheme="minorHAnsi"/>
                <w:b/>
                <w:bCs/>
                <w:sz w:val="20"/>
                <w:szCs w:val="20"/>
              </w:rPr>
            </w:pPr>
            <w:r w:rsidRPr="00376E4F">
              <w:rPr>
                <w:rFonts w:asciiTheme="minorHAnsi" w:hAnsiTheme="minorHAnsi"/>
                <w:b/>
                <w:bCs/>
                <w:sz w:val="20"/>
                <w:szCs w:val="20"/>
              </w:rPr>
              <w:t>Kukurūza</w:t>
            </w:r>
          </w:p>
        </w:tc>
        <w:tc>
          <w:tcPr>
            <w:tcW w:w="3827"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Kukurūzas lapu plankumainība</w:t>
            </w:r>
          </w:p>
          <w:p w:rsidR="006A7884" w:rsidRPr="00376E4F" w:rsidRDefault="006A7884">
            <w:pPr>
              <w:widowControl w:val="0"/>
              <w:rPr>
                <w:rFonts w:asciiTheme="minorHAnsi" w:hAnsiTheme="minorHAnsi"/>
                <w:sz w:val="20"/>
                <w:szCs w:val="20"/>
              </w:rPr>
            </w:pPr>
            <w:r w:rsidRPr="00376E4F">
              <w:rPr>
                <w:rFonts w:asciiTheme="minorHAnsi" w:hAnsiTheme="minorHAnsi"/>
                <w:sz w:val="20"/>
                <w:szCs w:val="20"/>
              </w:rPr>
              <w:t xml:space="preserve">Melnais </w:t>
            </w:r>
            <w:proofErr w:type="spellStart"/>
            <w:r w:rsidRPr="00376E4F">
              <w:rPr>
                <w:rFonts w:asciiTheme="minorHAnsi" w:hAnsiTheme="minorHAnsi"/>
                <w:sz w:val="20"/>
                <w:szCs w:val="20"/>
              </w:rPr>
              <w:t>sodrējums</w:t>
            </w:r>
            <w:proofErr w:type="spellEnd"/>
          </w:p>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Sakņu puves</w:t>
            </w:r>
          </w:p>
        </w:tc>
        <w:tc>
          <w:tcPr>
            <w:tcW w:w="2552" w:type="dxa"/>
            <w:tcBorders>
              <w:top w:val="single" w:sz="8" w:space="0" w:color="3891A7"/>
              <w:bottom w:val="single" w:sz="8" w:space="0" w:color="3891A7"/>
            </w:tcBorders>
            <w:shd w:val="clear" w:color="auto" w:fill="FFFFFF"/>
            <w:tcMar>
              <w:top w:w="58" w:type="dxa"/>
              <w:left w:w="58" w:type="dxa"/>
              <w:bottom w:w="58" w:type="dxa"/>
              <w:right w:w="58" w:type="dxa"/>
            </w:tcMar>
            <w:hideMark/>
          </w:tcPr>
          <w:p w:rsidR="006A7884" w:rsidRPr="00376E4F" w:rsidRDefault="006A7884">
            <w:pPr>
              <w:widowControl w:val="0"/>
              <w:spacing w:line="285" w:lineRule="auto"/>
              <w:rPr>
                <w:rFonts w:asciiTheme="minorHAnsi" w:hAnsiTheme="minorHAnsi"/>
                <w:sz w:val="20"/>
                <w:szCs w:val="20"/>
              </w:rPr>
            </w:pPr>
            <w:r w:rsidRPr="00376E4F">
              <w:rPr>
                <w:rFonts w:asciiTheme="minorHAnsi" w:hAnsiTheme="minorHAnsi"/>
                <w:sz w:val="20"/>
                <w:szCs w:val="20"/>
              </w:rPr>
              <w:t>Sprakšķi</w:t>
            </w:r>
          </w:p>
        </w:tc>
      </w:tr>
    </w:tbl>
    <w:p w:rsidR="006A7884" w:rsidRDefault="007D1896" w:rsidP="006A7884">
      <w:r>
        <w:rPr>
          <w:noProof/>
        </w:rPr>
        <mc:AlternateContent>
          <mc:Choice Requires="wps">
            <w:drawing>
              <wp:anchor distT="36576" distB="36576" distL="36576" distR="36576" simplePos="0" relativeHeight="251718656" behindDoc="0" locked="0" layoutInCell="1" allowOverlap="1" wp14:anchorId="256C855E" wp14:editId="4F4521AB">
                <wp:simplePos x="0" y="0"/>
                <wp:positionH relativeFrom="column">
                  <wp:posOffset>3838575</wp:posOffset>
                </wp:positionH>
                <wp:positionV relativeFrom="paragraph">
                  <wp:posOffset>447040</wp:posOffset>
                </wp:positionV>
                <wp:extent cx="3237230" cy="4432935"/>
                <wp:effectExtent l="0" t="0" r="1270" b="571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37230" cy="44329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302.25pt;margin-top:35.2pt;width:254.9pt;height:349.0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" filled="f" stroked="f" insetpen="t">
                <v:shadow color="#e7dec9"/>
                <o:lock v:ext="edit" shapetype="t"/>
                <v:textbox inset="0,0,0,0"/>
              </v:rect>
            </w:pict>
          </mc:Fallback>
        </mc:AlternateContent>
      </w:r>
    </w:p>
    <w:p w:rsidR="005C29DC" w:rsidRPr="00555E71" w:rsidRDefault="005C29DC" w:rsidP="00EC3280">
      <w:pPr>
        <w:pStyle w:val="Heading3"/>
      </w:pPr>
      <w:bookmarkStart w:id="20" w:name="_Toc364414723"/>
      <w:bookmarkStart w:id="21" w:name="_Toc364414865"/>
      <w:r w:rsidRPr="00555E71">
        <w:lastRenderedPageBreak/>
        <w:t>4.</w:t>
      </w:r>
      <w:r w:rsidR="00CC371C">
        <w:t>2</w:t>
      </w:r>
      <w:r w:rsidRPr="00555E71">
        <w:t>. Augu karantīna</w:t>
      </w:r>
      <w:bookmarkEnd w:id="20"/>
      <w:r w:rsidR="00E06955">
        <w:t>s joma</w:t>
      </w:r>
      <w:bookmarkEnd w:id="21"/>
    </w:p>
    <w:p w:rsidR="005C29DC" w:rsidRDefault="005C29DC" w:rsidP="005C29DC">
      <w:pPr>
        <w:widowControl w:val="0"/>
        <w:rPr>
          <w:color w:val="000000"/>
          <w:sz w:val="20"/>
          <w:szCs w:val="20"/>
        </w:rPr>
      </w:pPr>
      <w:r>
        <w:t> </w:t>
      </w:r>
    </w:p>
    <w:p w:rsidR="005C29DC" w:rsidRPr="005C29DC" w:rsidRDefault="00CC371C" w:rsidP="005C29DC">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Izmaiņas 2012.</w:t>
      </w:r>
      <w:r w:rsidR="005C29DC" w:rsidRPr="005C29DC">
        <w:rPr>
          <w:rFonts w:asciiTheme="minorHAnsi" w:hAnsiTheme="minorHAnsi"/>
          <w:sz w:val="28"/>
        </w:rPr>
        <w:t>gadā</w:t>
      </w:r>
    </w:p>
    <w:p w:rsidR="00077677" w:rsidRDefault="00077677" w:rsidP="00077677">
      <w:pPr>
        <w:widowControl w:val="0"/>
        <w:rPr>
          <w:color w:val="000000"/>
        </w:rPr>
      </w:pP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xml:space="preserve">2012.gadā turpinājās 2010.gadā iesāktais darbs pie Eiropas Savienības (ES) augu veselības režīma pārskatīšanas, lai pilnveidotu esošo sistēmu, ņemot vērā jaunās tendences ražošanā un tirdzniecībā. Tā kā arī citās lauksaimniecības jomās, kā, piemēram, sēklas un pavairojamais materiāls, pārtika, dzīvnieku veselība un barība, tiek pārskatīta ES esošā likumdošana, tad Eiropas Komisijas Veselības un patērētāju tiesību Ģenerāldirektorāts (DG SANCO) ir nolēmis paplašināt ES Padomes Regulas 882/2004/EK par oficiālajām kontrolēm piemērošanas jomu, attiecinot to arī uz augu veselību. Šīs regulas par oficiālajām kontrolēm ietvaros ir plānots TRACES sistēmu - datorizētu, integrētu veterināro jeb Kopienas tirdzniecības kontroles un ekspertu sistēmu - piemērot arī augu veselībā. TRACES sistēma jau veiksmīgi ir paplašināta un piemērota arī citu produktu, piemēram, dzīvnieku barības un pārtikas, kas nav dzīvnieku izcelsmes barība un pārtika, importam Eiropas Savienībā. Tādējādi paredzēts, ka TRACES sistēmā visas fitosanitārajai kontrolei pakļautās kravas robežkontroles punktos tiks reģistrētas vienotā elektroniskā datu bāzē, kas ļaus izveidot kopējo ES datu bāzi. Līdz ar to būs </w:t>
      </w:r>
      <w:proofErr w:type="gramStart"/>
      <w:r w:rsidRPr="005C29DC">
        <w:rPr>
          <w:rFonts w:asciiTheme="minorHAnsi" w:hAnsiTheme="minorHAnsi"/>
        </w:rPr>
        <w:t>pilnīga informāciju</w:t>
      </w:r>
      <w:proofErr w:type="gramEnd"/>
      <w:r w:rsidRPr="005C29DC">
        <w:rPr>
          <w:rFonts w:asciiTheme="minorHAnsi" w:hAnsiTheme="minorHAnsi"/>
        </w:rPr>
        <w:t xml:space="preserve"> par no trešajām valstīm ievestajām fitosanitārajai kontrolei pakļautajām kravām, neatkarīgi no ES dalībvalsts, caur kuru krava ir ievesta. VAAD pārstāvis piedalījās Eiropas Komisijas organizētajā darba grupas sanāksmē par kopējā ievešanas dokumenta izstrādi augu veselības jomai, lai varētu ieviest TRACES sistēmu. </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2012.gadā DG SANCO izstrādāja sākotnējo versiju gan jaunā Augu veselības likuma, gan Regulas par oficiālajām kontrolēm, gan arī Regulas par maksu piemērošanu projektiem un nosūtīja dalībvalstīm. VAAD izskatīja un izvērtēja sagatavotos projektus un sagatavoja savu pozīciju un komentārus. Lai pārliecinātos, ka jautājumos ir pareiza izpratne un apspriestu savus viedokļus, VAAD pārstāvji tikās ar Lietuvas un Igaunijas augu aizsardzības organizāciju pārstāvjiem.</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xml:space="preserve">2012.gadā turpinājās arī darbs pie izmaiņām ES normatīvajos aktos par pavairojamo materiālu. VAAD izskatīja sertifikācijas shēmu prasību ieviešanu jaunajos normatīvo aktu projektos - par etiķetes pievienošanas, pavairojamā materiāla aizzīmogošanas un iesaiņošanas prasībām, kā arī par augļu koku un ogulāju pavairojamā materiāla piegādātāju un šķirņu reģistrāciju, sagatavoja un nosūtīja savus komentārus un priekšlikumus. </w:t>
      </w:r>
    </w:p>
    <w:p w:rsidR="005C29DC" w:rsidRPr="005C29DC" w:rsidRDefault="005C29DC" w:rsidP="005C29DC">
      <w:pPr>
        <w:widowControl w:val="0"/>
        <w:shd w:val="clear" w:color="auto" w:fill="EAF1DD" w:themeFill="accent3" w:themeFillTint="33"/>
        <w:spacing w:before="120"/>
        <w:jc w:val="both"/>
        <w:rPr>
          <w:rFonts w:asciiTheme="minorHAnsi" w:hAnsiTheme="minorHAnsi"/>
          <w:sz w:val="28"/>
        </w:rPr>
      </w:pPr>
      <w:r w:rsidRPr="005C29DC">
        <w:rPr>
          <w:rFonts w:asciiTheme="minorHAnsi" w:hAnsiTheme="minorHAnsi"/>
          <w:sz w:val="28"/>
        </w:rPr>
        <w:t>Izmaiņas normatīvajā regulējumā</w:t>
      </w:r>
    </w:p>
    <w:p w:rsidR="005C29DC" w:rsidRPr="00376E4F" w:rsidRDefault="005C29DC" w:rsidP="005C29DC">
      <w:pPr>
        <w:widowControl w:val="0"/>
        <w:rPr>
          <w:rFonts w:ascii="Calibri" w:hAnsi="Calibri"/>
          <w:color w:val="000000"/>
          <w:sz w:val="4"/>
          <w:szCs w:val="4"/>
        </w:rPr>
      </w:pPr>
      <w:r w:rsidRPr="00376E4F">
        <w:rPr>
          <w:sz w:val="4"/>
          <w:szCs w:val="4"/>
        </w:rPr>
        <w:t> </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2012.gadā, pēc vairāku gada darba, tika apstiprināti Ministru kabineta 2012.gada 28.februāra noteikumi Nr.145 „Noteikumi par fitosanitāriem pasākumiem un to piemērošanas kārtību koksnes iepakojamam”. Noteikumi izstrādāti, lai samazinātu risku ar koksnes iepakojamo materiālu ievest un izplatīt bīstamus kaitīgos organismus un ieviestu Pārtikas un lauksaimniecības organizācijas (FAO) Starptautiskās augu aizsardzības konvencijas Fitosanitāro pasākumu starptautiskā standarta Nr.15 „Starptautiskajā tirdzniecībā izmantotā koksnes iepakojamā materiāla reglamentācija” (turpmāk – standarts Nr.15) 2009.gada pārskatīto redakciju.</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xml:space="preserve">Standarts Nr.15 attiecībā uz eksportam piemērojamo koksnes iepakojamo materiālu Latvijā ieviests jau pirms vairākiem gadiem un ir daudz uzņēmumu, kuri nodarbojas ar koksnes iepakojamā materiāla ražošanu atbilstoši standartā Nr.15 noteiktajām prasībām. Tomēr ar standarta Nr.15 2009.gada redakciju ir ieviestas vairākas jaunas prasības koksnes iepakojamā </w:t>
      </w:r>
      <w:r w:rsidRPr="005C29DC">
        <w:rPr>
          <w:rFonts w:asciiTheme="minorHAnsi" w:hAnsiTheme="minorHAnsi"/>
        </w:rPr>
        <w:lastRenderedPageBreak/>
        <w:t xml:space="preserve">materiāla termiskās apstrādes veikšanā un marķēšanā, kas tagad iekļautas arī noteikumos. Dažām prasībām, kuras nebija iespējams uzreiz izpildīt bija noteikts pārejas periods. </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xml:space="preserve">Galvenās izmaiņas saistībā ar koksnes iepakojamā materiāla termiskās apstrādes veikšanu un marķēšanu - koksnes iepakojamo materiālu drīkst marķēt tikai pēc termiskās apstrādes veikšanas; marķējums drīkst saturēt tikai noteiktu informāciju, tajā nedrīkst būt norādīti papildus apzīmējumi (piemēram, DB, KD u.c.); termiski apstrādāta koksne/koksnes iepakojamais materiāls jāuzglabā atsevišķi no termiski neapstrādātas koksnes/koksnes iepakojamā materiāla - attālums ir vismaz trīs metri; termiskās apstrādes/marķēšanas uzņēmumam jāsedz visi izdevumi, kas saistīti ar </w:t>
      </w:r>
      <w:r w:rsidR="004B6E67">
        <w:rPr>
          <w:rFonts w:asciiTheme="minorHAnsi" w:hAnsiTheme="minorHAnsi"/>
        </w:rPr>
        <w:t>VAAD</w:t>
      </w:r>
      <w:r w:rsidR="004B6E67" w:rsidRPr="005C29DC">
        <w:rPr>
          <w:rFonts w:asciiTheme="minorHAnsi" w:hAnsiTheme="minorHAnsi"/>
        </w:rPr>
        <w:t xml:space="preserve"> </w:t>
      </w:r>
      <w:r w:rsidRPr="005C29DC">
        <w:rPr>
          <w:rFonts w:asciiTheme="minorHAnsi" w:hAnsiTheme="minorHAnsi"/>
        </w:rPr>
        <w:t xml:space="preserve">veiktajām uzraudzības un kontroles pārbaudēm saskaņā ar </w:t>
      </w:r>
      <w:r w:rsidR="004B6E67">
        <w:rPr>
          <w:rFonts w:asciiTheme="minorHAnsi" w:hAnsiTheme="minorHAnsi"/>
        </w:rPr>
        <w:t>VAAD</w:t>
      </w:r>
      <w:r w:rsidR="004B6E67" w:rsidRPr="005C29DC">
        <w:rPr>
          <w:rFonts w:asciiTheme="minorHAnsi" w:hAnsiTheme="minorHAnsi"/>
        </w:rPr>
        <w:t xml:space="preserve"> </w:t>
      </w:r>
      <w:r w:rsidRPr="005C29DC">
        <w:rPr>
          <w:rFonts w:asciiTheme="minorHAnsi" w:hAnsiTheme="minorHAnsi"/>
        </w:rPr>
        <w:t xml:space="preserve">sniegto maksas pakalpojumu cenrādi; termiskās apstrādes procesu drīkst sertificēt sertifikācijas institūcijas, kurām </w:t>
      </w:r>
      <w:r w:rsidR="00DB586F">
        <w:rPr>
          <w:rFonts w:asciiTheme="minorHAnsi" w:hAnsiTheme="minorHAnsi"/>
        </w:rPr>
        <w:t>VAAD</w:t>
      </w:r>
      <w:r w:rsidRPr="005C29DC">
        <w:rPr>
          <w:rFonts w:asciiTheme="minorHAnsi" w:hAnsiTheme="minorHAnsi"/>
        </w:rPr>
        <w:t xml:space="preserve"> ir izsniedzis sertifikācijas atļauju (prasība stājās spēkā no 2012.gada 1.jūlija). Noteikumi arī nosaka prasības sertifikācijas institūcijai, piemēram, tai jābūt akreditētai Latvijas Nacionālajā akreditācijas birojā LATAK atbilstoši standartam LVS EN45011:2004, jābūt izstrādātām pārbaužu un uzraudzības procedūru vadlīnijām un termiskās apstrādes instrukcijas vadlīnijām u.c. Līdz šim šādu vienotu prasību nebija un tādējādi sertifikācijas institūcijas termiskās apstrādes procesa sertifikāciju veica atšķirīgi, piemērojot arī atšķirīgas prasības. Noteikumi arī ļaus piemērot Administratīvo sodu, ja pārbaudēs </w:t>
      </w:r>
      <w:r w:rsidR="00DB586F">
        <w:rPr>
          <w:rFonts w:asciiTheme="minorHAnsi" w:hAnsiTheme="minorHAnsi"/>
        </w:rPr>
        <w:t>VAAD</w:t>
      </w:r>
      <w:r w:rsidRPr="005C29DC">
        <w:rPr>
          <w:rFonts w:asciiTheme="minorHAnsi" w:hAnsiTheme="minorHAnsi"/>
        </w:rPr>
        <w:t xml:space="preserve"> konstatēs, ka uzņēmumi vilto marķējumu, jo arvien vairāk tiek konstatēti gadījumu, kad tiek marķēts termiski neapstrādāts koksnes iepakojamais materiāls, izmantojot citam uzņēmumam piešķirto reģistrācijas numuru, kas tādējādi ir uzskatāms par marķējuma viltošanu. </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xml:space="preserve">2012.gada 28.februārī apstiprināti Ministru kabineta noteikumi Nr.152 „Kārtība, kādā Valsts augu aizsardzības </w:t>
      </w:r>
      <w:r w:rsidR="004B6E67">
        <w:rPr>
          <w:rFonts w:asciiTheme="minorHAnsi" w:hAnsiTheme="minorHAnsi"/>
        </w:rPr>
        <w:t>VAAD</w:t>
      </w:r>
      <w:r w:rsidR="004B6E67" w:rsidRPr="005C29DC">
        <w:rPr>
          <w:rFonts w:asciiTheme="minorHAnsi" w:hAnsiTheme="minorHAnsi"/>
        </w:rPr>
        <w:t xml:space="preserve"> </w:t>
      </w:r>
      <w:r w:rsidRPr="005C29DC">
        <w:rPr>
          <w:rFonts w:asciiTheme="minorHAnsi" w:hAnsiTheme="minorHAnsi"/>
        </w:rPr>
        <w:t xml:space="preserve">veic references laboratorijas funkcijas augu karantīnas organismu un augiem sevišķi bīstamu organismu laboratoriskajā diagnostikā”. Noteikumi par references laboratorijām. Noteikumi noteiks kārtību, kādā </w:t>
      </w:r>
      <w:r w:rsidR="00DB586F">
        <w:rPr>
          <w:rFonts w:asciiTheme="minorHAnsi" w:hAnsiTheme="minorHAnsi"/>
        </w:rPr>
        <w:t>VAAD</w:t>
      </w:r>
      <w:r w:rsidRPr="005C29DC">
        <w:rPr>
          <w:rFonts w:asciiTheme="minorHAnsi" w:hAnsiTheme="minorHAnsi"/>
        </w:rPr>
        <w:t xml:space="preserve"> veic references laboratorijas funkcijas augu karantīnas un augiem sevišķi bīstamo organismu laboratoriskajā diagnostikā, references laboratorijas funkcijas un uzdevumus, kā arī kārtību, kādā atzīst citu laboratoriju tiesības diagnosticēt augu karantīnas un augiem sevišķi bīstamos organismus, un šo laboratoriju uzraudzības kārtību.</w:t>
      </w:r>
    </w:p>
    <w:p w:rsidR="005C29DC" w:rsidRPr="005C29DC" w:rsidRDefault="005C29DC" w:rsidP="00671DF0">
      <w:pPr>
        <w:widowControl w:val="0"/>
        <w:spacing w:before="120"/>
        <w:jc w:val="both"/>
        <w:rPr>
          <w:rFonts w:asciiTheme="minorHAnsi" w:hAnsiTheme="minorHAnsi"/>
        </w:rPr>
      </w:pPr>
      <w:r w:rsidRPr="005C29DC">
        <w:rPr>
          <w:rFonts w:asciiTheme="minorHAnsi" w:hAnsiTheme="minorHAnsi"/>
        </w:rPr>
        <w:t>2012.gadā sagatavotas un apstiprinātas VAAD instrukcijas:</w:t>
      </w:r>
    </w:p>
    <w:p w:rsidR="005C29DC" w:rsidRPr="005C29DC" w:rsidRDefault="005C29DC" w:rsidP="001234C1">
      <w:pPr>
        <w:pStyle w:val="ListParagraph"/>
        <w:widowControl w:val="0"/>
        <w:numPr>
          <w:ilvl w:val="1"/>
          <w:numId w:val="6"/>
        </w:numPr>
        <w:spacing w:before="120"/>
        <w:ind w:left="426"/>
        <w:jc w:val="both"/>
        <w:rPr>
          <w:rFonts w:asciiTheme="minorHAnsi" w:hAnsiTheme="minorHAnsi"/>
        </w:rPr>
      </w:pPr>
      <w:r w:rsidRPr="005C29DC">
        <w:rPr>
          <w:rFonts w:asciiTheme="minorHAnsi" w:hAnsiTheme="minorHAnsi"/>
        </w:rPr>
        <w:t>2012.gada 21.marta instrukcija Nr.10 „Kārtība, kādā Valsts augu aizsardzības dienests veic pārbaudes augu karantīnas jomu regulējošo normatīvo aktu prasību ievērošanu tirdzniecības vietās”. Instrukcija nomaina iepriekš spēkā esošo rīkojumu, ar kuru bija apstiprinātas vadlīnijas pārbaužu veikšanai tirdzniecības vietās. Instrukcijā ietvertā informācija ir pilnīgāka, jo tajā norādīta pārbaužu veikšana gan kartupeļu, gan stādu tirdzniecības vietās, rīcība pārkāpumu konstatēšanas gadījumā un pārbaudes aktā norādāmā informācija. Ar instrukciju ir apstiprināta speciāla pārbaudes akta forma, lai atvieglotu inspektoriem pārbaudes akta noformēšanu tieši tirdzniecības vietā.</w:t>
      </w:r>
    </w:p>
    <w:p w:rsidR="005C29DC" w:rsidRPr="005C29DC" w:rsidRDefault="005C29DC" w:rsidP="001234C1">
      <w:pPr>
        <w:pStyle w:val="ListParagraph"/>
        <w:widowControl w:val="0"/>
        <w:numPr>
          <w:ilvl w:val="1"/>
          <w:numId w:val="6"/>
        </w:numPr>
        <w:spacing w:before="120"/>
        <w:ind w:left="426"/>
        <w:jc w:val="both"/>
        <w:rPr>
          <w:rFonts w:asciiTheme="minorHAnsi" w:hAnsiTheme="minorHAnsi"/>
        </w:rPr>
      </w:pPr>
      <w:r w:rsidRPr="005C29DC">
        <w:rPr>
          <w:rFonts w:asciiTheme="minorHAnsi" w:hAnsiTheme="minorHAnsi"/>
        </w:rPr>
        <w:t xml:space="preserve">2012.gada 17.aprīļa instrukcija Nr.15 „Kārtība, kādā notiek no trešajām valstīm ievestā koksnes iepakojamā materiāla pārbaude pēc </w:t>
      </w:r>
      <w:proofErr w:type="gramStart"/>
      <w:r w:rsidRPr="005C29DC">
        <w:rPr>
          <w:rFonts w:asciiTheme="minorHAnsi" w:hAnsiTheme="minorHAnsi"/>
        </w:rPr>
        <w:t>Pārtikas un Veterinārā dienesta</w:t>
      </w:r>
      <w:proofErr w:type="gramEnd"/>
      <w:r w:rsidRPr="005C29DC">
        <w:rPr>
          <w:rFonts w:asciiTheme="minorHAnsi" w:hAnsiTheme="minorHAnsi"/>
        </w:rPr>
        <w:t xml:space="preserve"> „Paziņojuma par fitosanitāro noteikumu pārkāpumiem” vai Valsts Ieņēmumu dienesta Muitas pārvaldes „Ziņojuma” saņemšanas”. Instrukcija nosaka</w:t>
      </w:r>
      <w:proofErr w:type="gramStart"/>
      <w:r w:rsidRPr="005C29DC">
        <w:rPr>
          <w:rFonts w:asciiTheme="minorHAnsi" w:hAnsiTheme="minorHAnsi"/>
        </w:rPr>
        <w:t xml:space="preserve"> kādā veidā notiek informācijas apmaiņa un pārbaudes veikšana </w:t>
      </w:r>
      <w:r w:rsidR="004B6E67">
        <w:rPr>
          <w:rFonts w:asciiTheme="minorHAnsi" w:hAnsiTheme="minorHAnsi"/>
        </w:rPr>
        <w:t>VAAD</w:t>
      </w:r>
      <w:proofErr w:type="gramEnd"/>
      <w:r w:rsidRPr="005C29DC">
        <w:rPr>
          <w:rFonts w:asciiTheme="minorHAnsi" w:hAnsiTheme="minorHAnsi"/>
        </w:rPr>
        <w:t>, lai varētu sagatavot paziņojumus (notifikācijas) par pārkāpumiem trešo valstu kravās, ievērojot normatīvajos aktos noteikto termiņu.</w:t>
      </w:r>
    </w:p>
    <w:p w:rsidR="005C29DC" w:rsidRPr="005C29DC" w:rsidRDefault="005C29DC" w:rsidP="001234C1">
      <w:pPr>
        <w:pStyle w:val="ListParagraph"/>
        <w:widowControl w:val="0"/>
        <w:numPr>
          <w:ilvl w:val="1"/>
          <w:numId w:val="6"/>
        </w:numPr>
        <w:spacing w:before="120"/>
        <w:ind w:left="426"/>
        <w:jc w:val="both"/>
        <w:rPr>
          <w:rFonts w:asciiTheme="minorHAnsi" w:hAnsiTheme="minorHAnsi"/>
        </w:rPr>
      </w:pPr>
      <w:r w:rsidRPr="005C29DC">
        <w:rPr>
          <w:rFonts w:asciiTheme="minorHAnsi" w:hAnsiTheme="minorHAnsi"/>
        </w:rPr>
        <w:t xml:space="preserve">2012.gada 26.jūlija instrukcija Nr.29 „Monitoringa veikšana un rīcība kaitīgo organismu konstatēšanas gadījumā” Instrukcija nosaka kārtību kādā </w:t>
      </w:r>
      <w:r w:rsidR="004B6E67">
        <w:rPr>
          <w:rFonts w:asciiTheme="minorHAnsi" w:hAnsiTheme="minorHAnsi"/>
        </w:rPr>
        <w:t>VAAD</w:t>
      </w:r>
      <w:r w:rsidR="004B6E67" w:rsidRPr="005C29DC">
        <w:rPr>
          <w:rFonts w:asciiTheme="minorHAnsi" w:hAnsiTheme="minorHAnsi"/>
        </w:rPr>
        <w:t xml:space="preserve"> </w:t>
      </w:r>
      <w:r w:rsidRPr="005C29DC">
        <w:rPr>
          <w:rFonts w:asciiTheme="minorHAnsi" w:hAnsiTheme="minorHAnsi"/>
        </w:rPr>
        <w:t xml:space="preserve">veic monitoringu augu </w:t>
      </w:r>
      <w:r w:rsidRPr="005C29DC">
        <w:rPr>
          <w:rFonts w:asciiTheme="minorHAnsi" w:hAnsiTheme="minorHAnsi"/>
        </w:rPr>
        <w:lastRenderedPageBreak/>
        <w:t>karantīnas organismu un citu augiem sevišķi bīstamo kaitīgo organismu atklāšanai un izplatības noteikšanai un rīkojas augu kaitīgo organismu konstatēšanas gadījumā.</w:t>
      </w:r>
    </w:p>
    <w:p w:rsidR="005C29DC" w:rsidRPr="005C29DC" w:rsidRDefault="005C29DC" w:rsidP="005C29DC">
      <w:pPr>
        <w:widowControl w:val="0"/>
        <w:spacing w:before="120"/>
        <w:jc w:val="both"/>
        <w:rPr>
          <w:rFonts w:asciiTheme="minorHAnsi" w:hAnsiTheme="minorHAnsi"/>
        </w:rPr>
      </w:pPr>
      <w:r w:rsidRPr="005C29DC">
        <w:rPr>
          <w:rFonts w:asciiTheme="minorHAnsi" w:hAnsiTheme="minorHAnsi"/>
        </w:rPr>
        <w:t> </w:t>
      </w:r>
    </w:p>
    <w:p w:rsidR="00DA5AA2" w:rsidRPr="00DA5AA2" w:rsidRDefault="00DA5AA2" w:rsidP="00DA5AA2">
      <w:pPr>
        <w:widowControl w:val="0"/>
        <w:shd w:val="clear" w:color="auto" w:fill="EAF1DD" w:themeFill="accent3" w:themeFillTint="33"/>
        <w:spacing w:before="120"/>
        <w:jc w:val="both"/>
        <w:rPr>
          <w:rFonts w:asciiTheme="minorHAnsi" w:hAnsiTheme="minorHAnsi"/>
          <w:sz w:val="28"/>
        </w:rPr>
      </w:pPr>
      <w:r w:rsidRPr="00DA5AA2">
        <w:rPr>
          <w:rFonts w:asciiTheme="minorHAnsi" w:hAnsiTheme="minorHAnsi"/>
          <w:sz w:val="28"/>
        </w:rPr>
        <w:t>Starptautiskā sadarbība</w:t>
      </w:r>
    </w:p>
    <w:p w:rsidR="00DA5AA2" w:rsidRPr="00DA5AA2" w:rsidRDefault="00DA5AA2" w:rsidP="00DA5AA2">
      <w:pPr>
        <w:widowControl w:val="0"/>
        <w:spacing w:before="120"/>
        <w:jc w:val="both"/>
        <w:rPr>
          <w:rFonts w:asciiTheme="minorHAnsi" w:hAnsiTheme="minorHAnsi"/>
        </w:rPr>
      </w:pPr>
      <w:r w:rsidRPr="00DA5AA2">
        <w:rPr>
          <w:rFonts w:asciiTheme="minorHAnsi" w:hAnsiTheme="minorHAnsi"/>
        </w:rPr>
        <w:t xml:space="preserve">VAAD darbinieki 2012.gadā ir piedalījušies vairākās starptautiskās sanāksmēs, darba grupās un semināros. Sanāksmēs snieguši komentārus tajās izskatāmajiem dokumentiem, strādājuši pie regulējošu dokumentu izstrādes. Darba grupās strādājuši ar aktuāliem jautājumiem, sniedzot ierosinājumus. Semināros noritējusi praktiska un teorētiska pieredzes apmaiņa. Starptautiskos dokumentos iestrādāti Latvijai labvēlīgi nosacījumi un veicināta sadarbība ar citām valstīm, kā arī esam informēti par aktuālāko augu aizsardzībā un attiecīgi nepieciešamo ieviešam praksē. </w:t>
      </w:r>
    </w:p>
    <w:p w:rsidR="00DA5AA2" w:rsidRPr="00DA5AA2" w:rsidRDefault="00DA5AA2" w:rsidP="00DA5AA2">
      <w:pPr>
        <w:widowControl w:val="0"/>
        <w:spacing w:before="120"/>
        <w:jc w:val="both"/>
        <w:rPr>
          <w:rFonts w:asciiTheme="minorHAnsi" w:hAnsiTheme="minorHAnsi"/>
          <w:bCs/>
        </w:rPr>
      </w:pPr>
      <w:r>
        <w:rPr>
          <w:rFonts w:asciiTheme="minorHAnsi" w:hAnsiTheme="minorHAnsi"/>
        </w:rPr>
        <w:t>Pārskata periodā VAAD piedalījās</w:t>
      </w:r>
      <w:r w:rsidRPr="00DA5AA2">
        <w:rPr>
          <w:rFonts w:asciiTheme="minorHAnsi" w:hAnsiTheme="minorHAnsi"/>
          <w:bCs/>
        </w:rPr>
        <w:t>:</w:t>
      </w:r>
    </w:p>
    <w:p w:rsidR="00DA5AA2" w:rsidRPr="00DA5AA2" w:rsidRDefault="00DA5AA2" w:rsidP="001234C1">
      <w:pPr>
        <w:pStyle w:val="ListParagraph"/>
        <w:numPr>
          <w:ilvl w:val="0"/>
          <w:numId w:val="9"/>
        </w:numPr>
        <w:tabs>
          <w:tab w:val="left" w:pos="567"/>
        </w:tabs>
        <w:spacing w:before="120"/>
        <w:ind w:left="426"/>
        <w:jc w:val="both"/>
        <w:rPr>
          <w:rFonts w:asciiTheme="minorHAnsi" w:hAnsiTheme="minorHAnsi"/>
        </w:rPr>
      </w:pPr>
      <w:r w:rsidRPr="00DA5AA2">
        <w:rPr>
          <w:rFonts w:asciiTheme="minorHAnsi" w:hAnsiTheme="minorHAnsi"/>
          <w:bCs/>
        </w:rPr>
        <w:t>ikgadējā Baltijas un Ziemeļvalstu augu aizsardzības dienestu sanāksmē, kura notika Lietuvā. A</w:t>
      </w:r>
      <w:r w:rsidRPr="00DA5AA2">
        <w:rPr>
          <w:rFonts w:asciiTheme="minorHAnsi" w:hAnsiTheme="minorHAnsi"/>
        </w:rPr>
        <w:t xml:space="preserve">pspriesti jautājumi par aktuālākajām problēmām fitosanitārajā jomā: jaunā Augu veselības likuma un Regulas par oficiālajām kontrolēm projekti un būtiskākās izmaiņas augu veselības režīmā; par pieredzi atļauju izsniegšanai izmēģinājumiem un zinātniskiem mērķiem; sabiedrības informēšana ārkārtas situācijās un uzmanības piesaistīšanai par iespējamiem draudiem ieviešoties jaunam kaitīgajam organismam, Dānijas un Zviedrijas augu aizsardzības organizācijas pēc reorganizācijas, pasākumu piemērošana </w:t>
      </w:r>
      <w:proofErr w:type="spellStart"/>
      <w:r w:rsidRPr="00DA5AA2">
        <w:rPr>
          <w:rFonts w:asciiTheme="minorHAnsi" w:hAnsiTheme="minorHAnsi"/>
          <w:i/>
        </w:rPr>
        <w:t>Mycosphaerella</w:t>
      </w:r>
      <w:proofErr w:type="spellEnd"/>
      <w:r w:rsidRPr="00DA5AA2">
        <w:rPr>
          <w:rFonts w:asciiTheme="minorHAnsi" w:hAnsiTheme="minorHAnsi"/>
        </w:rPr>
        <w:t xml:space="preserve"> </w:t>
      </w:r>
      <w:proofErr w:type="spellStart"/>
      <w:r w:rsidRPr="00DA5AA2">
        <w:rPr>
          <w:rFonts w:asciiTheme="minorHAnsi" w:hAnsiTheme="minorHAnsi"/>
        </w:rPr>
        <w:t>spp</w:t>
      </w:r>
      <w:proofErr w:type="spellEnd"/>
      <w:r w:rsidRPr="00DA5AA2">
        <w:rPr>
          <w:rFonts w:asciiTheme="minorHAnsi" w:hAnsiTheme="minorHAnsi"/>
        </w:rPr>
        <w:t>. izplatības ierobežošanai;</w:t>
      </w:r>
    </w:p>
    <w:p w:rsidR="00DA5AA2" w:rsidRPr="00DA5AA2" w:rsidRDefault="00DA5AA2" w:rsidP="00376E4F">
      <w:pPr>
        <w:numPr>
          <w:ilvl w:val="0"/>
          <w:numId w:val="9"/>
        </w:numPr>
        <w:tabs>
          <w:tab w:val="left" w:pos="567"/>
        </w:tabs>
        <w:ind w:left="567" w:hanging="578"/>
        <w:jc w:val="both"/>
        <w:rPr>
          <w:rFonts w:asciiTheme="minorHAnsi" w:hAnsiTheme="minorHAnsi"/>
        </w:rPr>
      </w:pPr>
      <w:r w:rsidRPr="00DA5AA2">
        <w:rPr>
          <w:rFonts w:asciiTheme="minorHAnsi" w:hAnsiTheme="minorHAnsi"/>
        </w:rPr>
        <w:t xml:space="preserve">EPPO ekspertu darba grupas sanāksmēs par: </w:t>
      </w:r>
    </w:p>
    <w:p w:rsidR="00DA5AA2" w:rsidRPr="00DA5AA2" w:rsidRDefault="00DA5AA2" w:rsidP="00376E4F">
      <w:pPr>
        <w:numPr>
          <w:ilvl w:val="1"/>
          <w:numId w:val="10"/>
        </w:numPr>
        <w:ind w:left="709" w:hanging="283"/>
        <w:jc w:val="both"/>
        <w:rPr>
          <w:rFonts w:asciiTheme="minorHAnsi" w:hAnsiTheme="minorHAnsi"/>
        </w:rPr>
      </w:pPr>
      <w:r w:rsidRPr="00DA5AA2">
        <w:rPr>
          <w:rFonts w:asciiTheme="minorHAnsi" w:hAnsiTheme="minorHAnsi"/>
        </w:rPr>
        <w:t xml:space="preserve">fitosanitārajiem pasākumiem, </w:t>
      </w:r>
    </w:p>
    <w:p w:rsidR="00DA5AA2" w:rsidRPr="00DA5AA2" w:rsidRDefault="00DA5AA2" w:rsidP="00376E4F">
      <w:pPr>
        <w:numPr>
          <w:ilvl w:val="1"/>
          <w:numId w:val="10"/>
        </w:numPr>
        <w:ind w:left="709" w:hanging="283"/>
        <w:jc w:val="both"/>
        <w:rPr>
          <w:rFonts w:asciiTheme="minorHAnsi" w:hAnsiTheme="minorHAnsi"/>
        </w:rPr>
      </w:pPr>
      <w:r w:rsidRPr="00DA5AA2">
        <w:rPr>
          <w:rFonts w:asciiTheme="minorHAnsi" w:hAnsiTheme="minorHAnsi"/>
        </w:rPr>
        <w:t>invazīvajām augu sugām,</w:t>
      </w:r>
    </w:p>
    <w:p w:rsidR="00DA5AA2" w:rsidRPr="00DA5AA2" w:rsidRDefault="00DA5AA2" w:rsidP="00376E4F">
      <w:pPr>
        <w:numPr>
          <w:ilvl w:val="1"/>
          <w:numId w:val="10"/>
        </w:numPr>
        <w:ind w:left="709" w:hanging="283"/>
        <w:jc w:val="both"/>
        <w:rPr>
          <w:rFonts w:asciiTheme="minorHAnsi" w:hAnsiTheme="minorHAnsi"/>
        </w:rPr>
      </w:pPr>
      <w:r w:rsidRPr="00DA5AA2">
        <w:rPr>
          <w:rFonts w:asciiTheme="minorHAnsi" w:hAnsiTheme="minorHAnsi"/>
        </w:rPr>
        <w:t xml:space="preserve">diagnostikas kvalitāti un augu kaitīgo organismu diagnostikas jaunākajām metodēm un par tehniskajām prasībām laboratorijām; kurās apsprieda jautājumus par EPPO A1 un A2 sarakstu papildināšanu ar kaitīgajiem organismiem, kurus būtu EPPO dalībvalstīm ieteicams reglamentēt, papildinājumus EPPO brīdinājuma sarakstiem (par jauniem kaitīgajiem organismiem, kuri varētu radīt apdraudējumu) precizēja </w:t>
      </w:r>
      <w:proofErr w:type="spellStart"/>
      <w:r w:rsidRPr="00DA5AA2">
        <w:rPr>
          <w:rFonts w:asciiTheme="minorHAnsi" w:hAnsiTheme="minorHAnsi"/>
        </w:rPr>
        <w:t>ekspress</w:t>
      </w:r>
      <w:proofErr w:type="spellEnd"/>
      <w:r w:rsidRPr="00DA5AA2">
        <w:rPr>
          <w:rFonts w:asciiTheme="minorHAnsi" w:hAnsiTheme="minorHAnsi"/>
        </w:rPr>
        <w:t xml:space="preserve"> jeb ātrās kaitīgo organismu riska analīzes shēmu un lēmumu pieņemšanas shēmu darbību prioritāšu noteikšanai kaitīgo organismu uzliesmojumu gadījumos, izskatīja un papildināja riska pārvaldības pasākumus noteiktiem kaitīgajiem organismiem, kuriem tiek izstrādāta kaitīgo organismu riska analīze,</w:t>
      </w:r>
    </w:p>
    <w:p w:rsidR="00DA5AA2" w:rsidRPr="00DA5AA2" w:rsidRDefault="00DA5AA2" w:rsidP="00376E4F">
      <w:pPr>
        <w:numPr>
          <w:ilvl w:val="1"/>
          <w:numId w:val="10"/>
        </w:numPr>
        <w:ind w:left="709" w:hanging="283"/>
        <w:jc w:val="both"/>
        <w:rPr>
          <w:rFonts w:asciiTheme="minorHAnsi" w:hAnsiTheme="minorHAnsi"/>
        </w:rPr>
      </w:pPr>
      <w:r w:rsidRPr="00DA5AA2">
        <w:rPr>
          <w:rFonts w:asciiTheme="minorHAnsi" w:hAnsiTheme="minorHAnsi"/>
        </w:rPr>
        <w:t>diagnostikas protokolu izstrādi bakterioloģijā;</w:t>
      </w:r>
    </w:p>
    <w:p w:rsidR="00DA5AA2" w:rsidRPr="00DA5AA2" w:rsidRDefault="00DA5AA2" w:rsidP="001234C1">
      <w:pPr>
        <w:numPr>
          <w:ilvl w:val="0"/>
          <w:numId w:val="9"/>
        </w:numPr>
        <w:spacing w:before="120"/>
        <w:ind w:left="567" w:hanging="578"/>
        <w:jc w:val="both"/>
        <w:rPr>
          <w:rFonts w:asciiTheme="minorHAnsi" w:hAnsiTheme="minorHAnsi"/>
        </w:rPr>
      </w:pPr>
      <w:r w:rsidRPr="00DA5AA2">
        <w:rPr>
          <w:rFonts w:asciiTheme="minorHAnsi" w:hAnsiTheme="minorHAnsi"/>
        </w:rPr>
        <w:t>EPPO Virusoloģijas darba grupā;</w:t>
      </w:r>
    </w:p>
    <w:p w:rsidR="00DA5AA2" w:rsidRPr="00DA5AA2" w:rsidRDefault="00DA5AA2" w:rsidP="001234C1">
      <w:pPr>
        <w:numPr>
          <w:ilvl w:val="0"/>
          <w:numId w:val="9"/>
        </w:numPr>
        <w:tabs>
          <w:tab w:val="left" w:pos="567"/>
        </w:tabs>
        <w:spacing w:before="120"/>
        <w:ind w:left="567" w:hanging="567"/>
        <w:jc w:val="both"/>
        <w:rPr>
          <w:rFonts w:asciiTheme="minorHAnsi" w:hAnsiTheme="minorHAnsi"/>
        </w:rPr>
      </w:pPr>
      <w:r w:rsidRPr="00DA5AA2">
        <w:rPr>
          <w:rFonts w:asciiTheme="minorHAnsi" w:hAnsiTheme="minorHAnsi"/>
        </w:rPr>
        <w:t xml:space="preserve">EPPO /FAO organizētajā seminārā „Par starptautisko un reģionālo standartu ieviešanu, lai nodrošinātu stādāmā materiāla fitosanitāro drošību starptautiskajā tirdzniecībā”; </w:t>
      </w:r>
    </w:p>
    <w:p w:rsidR="00DA5AA2" w:rsidRPr="00DA5AA2" w:rsidRDefault="00DA5AA2" w:rsidP="001234C1">
      <w:pPr>
        <w:numPr>
          <w:ilvl w:val="0"/>
          <w:numId w:val="9"/>
        </w:numPr>
        <w:spacing w:before="120"/>
        <w:ind w:left="567" w:hanging="567"/>
        <w:jc w:val="both"/>
        <w:rPr>
          <w:rFonts w:asciiTheme="minorHAnsi" w:hAnsiTheme="minorHAnsi"/>
        </w:rPr>
      </w:pPr>
      <w:r w:rsidRPr="00DA5AA2">
        <w:rPr>
          <w:rFonts w:asciiTheme="minorHAnsi" w:hAnsiTheme="minorHAnsi"/>
          <w:bCs/>
        </w:rPr>
        <w:t>ES Padomes darba grupas, ES Komisijas darba grupas un EPPO ekspertu darba grupas sanāksmēs par fitosanitārajiem pasākumiem, krieviski runājošo valstu reģionālajā sanāksmē, kurās sniedza priekšlikumus</w:t>
      </w:r>
      <w:r w:rsidRPr="00DA5AA2">
        <w:rPr>
          <w:rFonts w:asciiTheme="minorHAnsi" w:hAnsiTheme="minorHAnsi"/>
        </w:rPr>
        <w:t xml:space="preserve"> ISPM un nepieciešamajiem grozījumiem jau esošajos standartos, kā arī citiem dokumentiem, kas apstiprināti </w:t>
      </w:r>
      <w:r w:rsidRPr="00DA5AA2">
        <w:rPr>
          <w:rFonts w:asciiTheme="minorHAnsi" w:hAnsiTheme="minorHAnsi"/>
          <w:bCs/>
        </w:rPr>
        <w:t>Fitosanitāro pasākumu komitejas ikgadējā sanāksmē Romā</w:t>
      </w:r>
      <w:r w:rsidRPr="00DA5AA2">
        <w:rPr>
          <w:rFonts w:asciiTheme="minorHAnsi" w:hAnsiTheme="minorHAnsi"/>
        </w:rPr>
        <w:t xml:space="preserve">; </w:t>
      </w:r>
    </w:p>
    <w:p w:rsidR="00DA5AA2" w:rsidRPr="00DA5AA2" w:rsidRDefault="00DA5AA2" w:rsidP="001234C1">
      <w:pPr>
        <w:numPr>
          <w:ilvl w:val="0"/>
          <w:numId w:val="9"/>
        </w:numPr>
        <w:spacing w:before="120"/>
        <w:ind w:left="567" w:hanging="567"/>
        <w:jc w:val="both"/>
        <w:rPr>
          <w:rFonts w:asciiTheme="minorHAnsi" w:hAnsiTheme="minorHAnsi"/>
        </w:rPr>
      </w:pPr>
      <w:r w:rsidRPr="00DA5AA2">
        <w:rPr>
          <w:rFonts w:asciiTheme="minorHAnsi" w:hAnsiTheme="minorHAnsi"/>
        </w:rPr>
        <w:t xml:space="preserve">Piedalīšanās (EMN – </w:t>
      </w:r>
      <w:proofErr w:type="spellStart"/>
      <w:r w:rsidRPr="00DA5AA2">
        <w:rPr>
          <w:rFonts w:asciiTheme="minorHAnsi" w:hAnsiTheme="minorHAnsi"/>
        </w:rPr>
        <w:t>European</w:t>
      </w:r>
      <w:proofErr w:type="spellEnd"/>
      <w:r w:rsidRPr="00DA5AA2">
        <w:rPr>
          <w:rFonts w:asciiTheme="minorHAnsi" w:hAnsiTheme="minorHAnsi"/>
        </w:rPr>
        <w:t xml:space="preserve"> </w:t>
      </w:r>
      <w:proofErr w:type="spellStart"/>
      <w:r w:rsidRPr="00DA5AA2">
        <w:rPr>
          <w:rFonts w:asciiTheme="minorHAnsi" w:hAnsiTheme="minorHAnsi"/>
        </w:rPr>
        <w:t>Mycological</w:t>
      </w:r>
      <w:proofErr w:type="spellEnd"/>
      <w:r w:rsidRPr="00DA5AA2">
        <w:rPr>
          <w:rFonts w:asciiTheme="minorHAnsi" w:hAnsiTheme="minorHAnsi"/>
        </w:rPr>
        <w:t xml:space="preserve"> </w:t>
      </w:r>
      <w:proofErr w:type="spellStart"/>
      <w:r w:rsidRPr="00DA5AA2">
        <w:rPr>
          <w:rFonts w:asciiTheme="minorHAnsi" w:hAnsiTheme="minorHAnsi"/>
        </w:rPr>
        <w:t>Network</w:t>
      </w:r>
      <w:proofErr w:type="spellEnd"/>
      <w:r w:rsidRPr="00DA5AA2">
        <w:rPr>
          <w:rFonts w:asciiTheme="minorHAnsi" w:hAnsiTheme="minorHAnsi"/>
        </w:rPr>
        <w:t xml:space="preserve">) Eiropas </w:t>
      </w:r>
      <w:proofErr w:type="spellStart"/>
      <w:r w:rsidRPr="00DA5AA2">
        <w:rPr>
          <w:rFonts w:asciiTheme="minorHAnsi" w:hAnsiTheme="minorHAnsi"/>
        </w:rPr>
        <w:t>mikologu</w:t>
      </w:r>
      <w:proofErr w:type="spellEnd"/>
      <w:r w:rsidRPr="00DA5AA2">
        <w:rPr>
          <w:rFonts w:asciiTheme="minorHAnsi" w:hAnsiTheme="minorHAnsi"/>
        </w:rPr>
        <w:t xml:space="preserve"> darba grupas ikgadējā sanāksmē;</w:t>
      </w:r>
    </w:p>
    <w:p w:rsidR="00DA5AA2" w:rsidRPr="00DA5AA2" w:rsidRDefault="00DA5AA2" w:rsidP="001234C1">
      <w:pPr>
        <w:numPr>
          <w:ilvl w:val="0"/>
          <w:numId w:val="9"/>
        </w:numPr>
        <w:spacing w:before="120"/>
        <w:ind w:left="567" w:hanging="709"/>
        <w:jc w:val="both"/>
        <w:rPr>
          <w:rFonts w:asciiTheme="minorHAnsi" w:hAnsiTheme="minorHAnsi"/>
        </w:rPr>
      </w:pPr>
      <w:r>
        <w:rPr>
          <w:rFonts w:asciiTheme="minorHAnsi" w:hAnsiTheme="minorHAnsi"/>
        </w:rPr>
        <w:lastRenderedPageBreak/>
        <w:t>VAAD</w:t>
      </w:r>
      <w:r w:rsidRPr="00DA5AA2">
        <w:rPr>
          <w:rFonts w:asciiTheme="minorHAnsi" w:hAnsiTheme="minorHAnsi"/>
        </w:rPr>
        <w:t xml:space="preserve"> pārstāvis ievēlēts, lai pārstāvētu Eiropas un Vidusjūras valstis Āzijas un Klusā okeāna reģionālā augu aizsardzības organizācija (APPPC) un Starptautiskās augu aizsardzības konvencijas (IPPC) sanāksmē par kaitīgo organismu monitoringu un uzraudzību un attiecīgi piedalītos jaunu vadlīniju izstrādē un attiecīgā standarta pilnveidošanā, ko izmanto visā pasaulē no iepriekš minētā reģiona </w:t>
      </w:r>
      <w:proofErr w:type="spellStart"/>
      <w:r w:rsidRPr="00DA5AA2">
        <w:rPr>
          <w:rFonts w:asciiTheme="minorHAnsi" w:hAnsiTheme="minorHAnsi"/>
        </w:rPr>
        <w:t>fitosanitārijā</w:t>
      </w:r>
      <w:proofErr w:type="spellEnd"/>
      <w:r w:rsidRPr="00DA5AA2">
        <w:rPr>
          <w:rFonts w:asciiTheme="minorHAnsi" w:hAnsiTheme="minorHAnsi"/>
        </w:rPr>
        <w:t xml:space="preserve">. </w:t>
      </w:r>
    </w:p>
    <w:p w:rsidR="00DA5AA2" w:rsidRPr="00DA5AA2" w:rsidRDefault="00DA5AA2" w:rsidP="001234C1">
      <w:pPr>
        <w:numPr>
          <w:ilvl w:val="0"/>
          <w:numId w:val="9"/>
        </w:numPr>
        <w:spacing w:before="120"/>
        <w:ind w:left="567" w:hanging="708"/>
        <w:jc w:val="both"/>
        <w:rPr>
          <w:rFonts w:asciiTheme="minorHAnsi" w:hAnsiTheme="minorHAnsi"/>
          <w:strike/>
        </w:rPr>
      </w:pPr>
      <w:r w:rsidRPr="00DA5AA2">
        <w:rPr>
          <w:rFonts w:asciiTheme="minorHAnsi" w:hAnsiTheme="minorHAnsi"/>
        </w:rPr>
        <w:t xml:space="preserve">Eiropas Komisijas darba grupā, kas izstrādāja elektroniskās ziņošanas formas fitosanitārajā jomā un ar to saistīto nosacījumu Eiropas Savienībā izstrādei ziņošanai par kaitīgajiem organismiem veiksmīgai sistēmas izveidei. </w:t>
      </w:r>
    </w:p>
    <w:p w:rsidR="00DA5AA2" w:rsidRPr="00DA5AA2" w:rsidRDefault="00DA5AA2" w:rsidP="001234C1">
      <w:pPr>
        <w:numPr>
          <w:ilvl w:val="0"/>
          <w:numId w:val="9"/>
        </w:numPr>
        <w:spacing w:before="120"/>
        <w:ind w:left="567" w:hanging="720"/>
        <w:jc w:val="both"/>
        <w:rPr>
          <w:rFonts w:asciiTheme="minorHAnsi" w:hAnsiTheme="minorHAnsi"/>
        </w:rPr>
      </w:pPr>
      <w:r w:rsidRPr="00DA5AA2">
        <w:rPr>
          <w:rFonts w:asciiTheme="minorHAnsi" w:hAnsiTheme="minorHAnsi"/>
        </w:rPr>
        <w:t xml:space="preserve">Neformālā Eiropas Komisijas darba grupa par invazīvajām sugām saistībā ar jaunās likumdošanas izstrādi. Rezultātā tika izstrādāts </w:t>
      </w:r>
      <w:proofErr w:type="spellStart"/>
      <w:r w:rsidRPr="00DA5AA2">
        <w:rPr>
          <w:rFonts w:asciiTheme="minorHAnsi" w:hAnsiTheme="minorHAnsi"/>
        </w:rPr>
        <w:t>ierosinājumdokuments</w:t>
      </w:r>
      <w:proofErr w:type="spellEnd"/>
      <w:r w:rsidRPr="00DA5AA2">
        <w:rPr>
          <w:rFonts w:asciiTheme="minorHAnsi" w:hAnsiTheme="minorHAnsi"/>
        </w:rPr>
        <w:t xml:space="preserve"> iekļaut attiecīgās invazīvās sugas (šādi definētas sugas, kas </w:t>
      </w:r>
      <w:proofErr w:type="spellStart"/>
      <w:r w:rsidRPr="00DA5AA2">
        <w:rPr>
          <w:rFonts w:asciiTheme="minorHAnsi" w:hAnsiTheme="minorHAnsi"/>
        </w:rPr>
        <w:t>fitosanitārijā</w:t>
      </w:r>
      <w:proofErr w:type="spellEnd"/>
      <w:r w:rsidRPr="00DA5AA2">
        <w:rPr>
          <w:rFonts w:asciiTheme="minorHAnsi" w:hAnsiTheme="minorHAnsi"/>
        </w:rPr>
        <w:t xml:space="preserve"> ir kaitīgie organismi), kas ir arī augi, Eiropas likumdošanā. (Līdz šim ir tikai viena parazītiski regulēta augu suga). </w:t>
      </w:r>
    </w:p>
    <w:p w:rsidR="00DA5AA2" w:rsidRDefault="00DA5AA2" w:rsidP="001234C1">
      <w:pPr>
        <w:widowControl w:val="0"/>
        <w:numPr>
          <w:ilvl w:val="0"/>
          <w:numId w:val="9"/>
        </w:numPr>
        <w:spacing w:before="120"/>
        <w:ind w:left="567" w:hanging="720"/>
        <w:jc w:val="both"/>
      </w:pPr>
      <w:r w:rsidRPr="00671DF0">
        <w:rPr>
          <w:rFonts w:asciiTheme="minorHAnsi" w:hAnsiTheme="minorHAnsi"/>
        </w:rPr>
        <w:t xml:space="preserve">VAAD noorganizēja pieredzes apmaiņas semināru Igaunijas augu aizsardzības organizācijas darbiniekiem par bakteriālo iedegu </w:t>
      </w:r>
      <w:proofErr w:type="spellStart"/>
      <w:r w:rsidRPr="00671DF0">
        <w:rPr>
          <w:rFonts w:asciiTheme="minorHAnsi" w:hAnsiTheme="minorHAnsi"/>
          <w:i/>
        </w:rPr>
        <w:t>Erwinia</w:t>
      </w:r>
      <w:proofErr w:type="spellEnd"/>
      <w:r w:rsidRPr="00671DF0">
        <w:rPr>
          <w:rFonts w:asciiTheme="minorHAnsi" w:hAnsiTheme="minorHAnsi"/>
          <w:i/>
        </w:rPr>
        <w:t xml:space="preserve"> </w:t>
      </w:r>
      <w:proofErr w:type="spellStart"/>
      <w:r w:rsidRPr="00671DF0">
        <w:rPr>
          <w:rFonts w:asciiTheme="minorHAnsi" w:hAnsiTheme="minorHAnsi"/>
          <w:i/>
        </w:rPr>
        <w:t>amylovora</w:t>
      </w:r>
      <w:proofErr w:type="spellEnd"/>
      <w:r w:rsidRPr="00671DF0">
        <w:rPr>
          <w:rFonts w:asciiTheme="minorHAnsi" w:hAnsiTheme="minorHAnsi"/>
        </w:rPr>
        <w:t xml:space="preserve"> atklāšanu Latvijā un piemērotajiem fitosanitārajiem pasākumiem izplatības ierobežošanā, lai saglabātu aizsargājamās zonas statusu. Igauņu kolēģi tika iepazīstināti ar iekšējiem un ārējiem tiesību aktiem, kas reglamentē bakteriālo iedegu izplatības ierobežošanu, pārbaužu veikšanas plānošanu, pārbaužu veikšanu un paraugu ņemšanu laboratoriskajām analīzēm, tika apmeklētas arī bakteriālo iedegu iepriekšējo gadu perēkļi. Šīs zināšanas un Latvijas pieredzi igauņu kolēģi izmantoja, lai piemērotu pēc iespēja efektīvākus fitosanitāros pasākumu un ierobežotu bakteriālo iedegu izplatību Igaunijā, jo 2012.gada vasarā šī bīstamā slimība pirmo reizi tika konstatēta arī Igaunijā. Nacionālajā </w:t>
      </w:r>
      <w:proofErr w:type="spellStart"/>
      <w:r w:rsidRPr="00671DF0">
        <w:rPr>
          <w:rFonts w:asciiTheme="minorHAnsi" w:hAnsiTheme="minorHAnsi"/>
        </w:rPr>
        <w:t>Fitosanaitārajā</w:t>
      </w:r>
      <w:proofErr w:type="spellEnd"/>
      <w:r w:rsidRPr="00671DF0">
        <w:rPr>
          <w:rFonts w:asciiTheme="minorHAnsi" w:hAnsiTheme="minorHAnsi"/>
        </w:rPr>
        <w:t xml:space="preserve"> laboratorijā bija a</w:t>
      </w:r>
      <w:r w:rsidRPr="00671DF0">
        <w:rPr>
          <w:rFonts w:asciiTheme="minorHAnsi" w:hAnsiTheme="minorHAnsi"/>
          <w:lang w:eastAsia="en-US"/>
        </w:rPr>
        <w:t xml:space="preserve">pmācības Igauņu bakteriologiem par </w:t>
      </w:r>
      <w:proofErr w:type="spellStart"/>
      <w:r w:rsidRPr="00671DF0">
        <w:rPr>
          <w:rFonts w:asciiTheme="minorHAnsi" w:hAnsiTheme="minorHAnsi"/>
          <w:i/>
          <w:lang w:eastAsia="en-US"/>
        </w:rPr>
        <w:t>Erwinia</w:t>
      </w:r>
      <w:proofErr w:type="spellEnd"/>
      <w:r w:rsidRPr="00671DF0">
        <w:rPr>
          <w:rFonts w:asciiTheme="minorHAnsi" w:hAnsiTheme="minorHAnsi"/>
          <w:i/>
          <w:lang w:eastAsia="en-US"/>
        </w:rPr>
        <w:t xml:space="preserve"> </w:t>
      </w:r>
      <w:proofErr w:type="spellStart"/>
      <w:r w:rsidRPr="00671DF0">
        <w:rPr>
          <w:rFonts w:asciiTheme="minorHAnsi" w:hAnsiTheme="minorHAnsi"/>
          <w:i/>
          <w:lang w:eastAsia="en-US"/>
        </w:rPr>
        <w:t>amylovora</w:t>
      </w:r>
      <w:proofErr w:type="spellEnd"/>
      <w:r w:rsidRPr="00671DF0">
        <w:rPr>
          <w:rFonts w:asciiTheme="minorHAnsi" w:hAnsiTheme="minorHAnsi"/>
        </w:rPr>
        <w:t xml:space="preserve"> noteikšanu.</w:t>
      </w:r>
    </w:p>
    <w:p w:rsidR="00EC1127" w:rsidRDefault="00DA5AA2" w:rsidP="00671DF0">
      <w:pPr>
        <w:widowControl w:val="0"/>
      </w:pPr>
      <w:r>
        <w:t> </w:t>
      </w:r>
    </w:p>
    <w:p w:rsidR="005C29DC" w:rsidRPr="00EC1127" w:rsidRDefault="00EC1127" w:rsidP="00EC1127">
      <w:pPr>
        <w:widowControl w:val="0"/>
        <w:shd w:val="clear" w:color="auto" w:fill="EAF1DD" w:themeFill="accent3" w:themeFillTint="33"/>
        <w:spacing w:before="120"/>
        <w:jc w:val="both"/>
        <w:rPr>
          <w:rFonts w:asciiTheme="minorHAnsi" w:hAnsiTheme="minorHAnsi"/>
          <w:sz w:val="28"/>
        </w:rPr>
      </w:pPr>
      <w:r w:rsidRPr="00EC1127">
        <w:rPr>
          <w:rFonts w:asciiTheme="minorHAnsi" w:hAnsiTheme="minorHAnsi"/>
          <w:sz w:val="28"/>
        </w:rPr>
        <w:t>Izmaiņas vadības un darbības uzlabošanas sistēmās efektīvas darbības nodrošināšanai</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Lai pārbaudītu, kā darbojas augu karantīnas sistēma un vai ir nepieciešami kādi uzlabojumi un pilnveidojumi tās darbībā, </w:t>
      </w:r>
      <w:r>
        <w:rPr>
          <w:rFonts w:asciiTheme="minorHAnsi" w:hAnsiTheme="minorHAnsi"/>
        </w:rPr>
        <w:t>Augu karantīnas departaments</w:t>
      </w:r>
      <w:r w:rsidRPr="00EC1127" w:rsidDel="0014588B">
        <w:rPr>
          <w:rFonts w:asciiTheme="minorHAnsi" w:hAnsiTheme="minorHAnsi"/>
        </w:rPr>
        <w:t xml:space="preserve"> </w:t>
      </w:r>
      <w:r w:rsidRPr="00EC1127">
        <w:rPr>
          <w:rFonts w:asciiTheme="minorHAnsi" w:hAnsiTheme="minorHAnsi"/>
        </w:rPr>
        <w:t xml:space="preserve">kopā ar reģionālo nodaļu inspektoriem piedalījās četrās pārbaudēs. 2012.gadā pārbaudes veiktas divos koksnes iepakojamā materiāla ražošanas uzņēmumos, kuros veic termisko apstrādi saskaņā ar standartu Nr.15, dekoratīvo augu stādaudzētavā veģetācijas periodā un tirdzniecības vietā, kura tirgo bakteriālo iedegu saimniekaugus. Pārbaužu laikā konstatēts, ka inspektori veic pārbaudes saskaņā ar izstrādātajām instrukcijām un vadlīnijām, noņem paraugus un nosūta laboratoriskai testēšanai saskaņā ar </w:t>
      </w:r>
      <w:r>
        <w:rPr>
          <w:rFonts w:asciiTheme="minorHAnsi" w:hAnsiTheme="minorHAnsi"/>
        </w:rPr>
        <w:t>VAAD</w:t>
      </w:r>
      <w:r w:rsidRPr="00EC1127">
        <w:rPr>
          <w:rFonts w:asciiTheme="minorHAnsi" w:hAnsiTheme="minorHAnsi"/>
        </w:rPr>
        <w:t xml:space="preserve"> instrukcijās noteikto, pieņem lēmumus un nosaka veicamos pasākumus neatbilstību konstatēšanas gadījumā. Tomēr ir nepieciešami daži uzlabojumi - nepieciešams sagatavot </w:t>
      </w:r>
      <w:r>
        <w:rPr>
          <w:rFonts w:asciiTheme="minorHAnsi" w:hAnsiTheme="minorHAnsi"/>
        </w:rPr>
        <w:t>VAAD</w:t>
      </w:r>
      <w:r w:rsidRPr="00EC1127">
        <w:rPr>
          <w:rFonts w:asciiTheme="minorHAnsi" w:hAnsiTheme="minorHAnsi"/>
        </w:rPr>
        <w:t xml:space="preserve"> instrukciju par uzraudzības pārbaužu veikšanu koksnes iepakojamā materiāla marķēšanas </w:t>
      </w:r>
      <w:proofErr w:type="gramStart"/>
      <w:r w:rsidRPr="00EC1127">
        <w:rPr>
          <w:rFonts w:asciiTheme="minorHAnsi" w:hAnsiTheme="minorHAnsi"/>
        </w:rPr>
        <w:t>uzņēmumu reģistrā</w:t>
      </w:r>
      <w:proofErr w:type="gramEnd"/>
      <w:r w:rsidRPr="00EC1127">
        <w:rPr>
          <w:rFonts w:asciiTheme="minorHAnsi" w:hAnsiTheme="minorHAnsi"/>
        </w:rPr>
        <w:t xml:space="preserve"> reģistrētām personām, nepieciešams sagatavot informatīvos materiālus stādu tirdzniecības vietām par augu pasu nepieciešamību un aizsargājamām zonām, kā arī pavasarī pirms stādu tirdzniecības organizēt seminārus par prasībām stādu tirdzniecībai, nepieciešams sagatavot arī karantīnas/kaitīgo organismu aprakstus tieši stādaudzētavu darbiniekiem. Joprojām atsevišķos gadījumos problēma ir ar precīzas un pilnīgas informācijas norādīšanu pārbaudes aktos, tamdēļ inspektoru apmācību laikā 2013.gada pavasarī nepieciešams inspektoriem atgādināt par informāciju, ko nepieciešams fiksēt pārbaudes aktā.</w:t>
      </w:r>
      <w:proofErr w:type="gramStart"/>
      <w:r w:rsidRPr="00EC1127">
        <w:rPr>
          <w:rFonts w:asciiTheme="minorHAnsi" w:hAnsiTheme="minorHAnsi"/>
        </w:rPr>
        <w:t xml:space="preserve">  </w:t>
      </w:r>
      <w:proofErr w:type="gramEnd"/>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2012.gadā inspektoriem, kuri darbojas augu karantīnas jomā, bija jākārto praktiskais </w:t>
      </w:r>
      <w:r w:rsidRPr="00EC1127">
        <w:rPr>
          <w:rFonts w:asciiTheme="minorHAnsi" w:hAnsiTheme="minorHAnsi"/>
        </w:rPr>
        <w:lastRenderedPageBreak/>
        <w:t xml:space="preserve">eksāmens augsnes paraugu ņemšanā. Katram inspektoram bija jānoņem augsnes paraugs vismaz no 1 ha platības. Tā kā vairākos gadījumos lauki bija lielāki par 1 ha un neregulāra izmēra, tad inspektoriem vispirms vajadzēja sadarboties savā starpā, lai lauku sadalītu 1ha lielā platībā un atzīmētu šīs robežas uz lauka. Tāpat bija arī jāaprēķina noņēmumu skaits un parauga lielums. Tad inspektors praktiski demonstrēja savas iemaņas augsnes paraugu ņemšanā un viņam šai nodarbē asistēja Augu karantīnas departamenta pārstāvis, kurš kopā ar inspektoru gāja šo 1 ha, vērtējot augsnes parauga ņemšanas atbilstību </w:t>
      </w:r>
      <w:r>
        <w:rPr>
          <w:rFonts w:asciiTheme="minorHAnsi" w:hAnsiTheme="minorHAnsi"/>
        </w:rPr>
        <w:t>VAAD</w:t>
      </w:r>
      <w:r w:rsidRPr="00EC1127">
        <w:rPr>
          <w:rFonts w:asciiTheme="minorHAnsi" w:hAnsiTheme="minorHAnsi"/>
        </w:rPr>
        <w:t xml:space="preserve"> instrukcijā noteiktajai kārtībai, kā arī skaitot noņēmumu skaitu un mērot attālumu starp noņēmumiem. Inspektoram bija arī pareizi jānoformē noņemtie augsnes paraugi, nosūtīšanai laboratoriskai testēšanai, kā arī jāsagatavo un jāpievieno parauga ņemšanas shēma. Savukārt laboratorija mērīja saņemto augsnes paraugu lielumu, kuram </w:t>
      </w:r>
      <w:proofErr w:type="spellStart"/>
      <w:r w:rsidRPr="00EC1127">
        <w:rPr>
          <w:rFonts w:asciiTheme="minorHAnsi" w:hAnsiTheme="minorHAnsi"/>
        </w:rPr>
        <w:t>jabūt</w:t>
      </w:r>
      <w:proofErr w:type="spellEnd"/>
      <w:r w:rsidRPr="00EC1127">
        <w:rPr>
          <w:rFonts w:asciiTheme="minorHAnsi" w:hAnsiTheme="minorHAnsi"/>
        </w:rPr>
        <w:t xml:space="preserve"> 1,5 l/ha. </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Lai inspektoriem, veicot pārbaudes, būtu vieglāk ieraudzīt un pazīt augu karantīnas organismu pazīmes, sagatavoti apraksti inspektoru rokasgrāmatai par: </w:t>
      </w:r>
      <w:proofErr w:type="spellStart"/>
      <w:r w:rsidRPr="00EC1127">
        <w:rPr>
          <w:rFonts w:asciiTheme="minorHAnsi" w:hAnsiTheme="minorHAnsi"/>
        </w:rPr>
        <w:t>Oligonychus</w:t>
      </w:r>
      <w:proofErr w:type="spellEnd"/>
      <w:r w:rsidRPr="00EC1127">
        <w:rPr>
          <w:rFonts w:asciiTheme="minorHAnsi" w:hAnsiTheme="minorHAnsi"/>
        </w:rPr>
        <w:t xml:space="preserve"> </w:t>
      </w:r>
      <w:proofErr w:type="spellStart"/>
      <w:r w:rsidRPr="00EC1127">
        <w:rPr>
          <w:rFonts w:asciiTheme="minorHAnsi" w:hAnsiTheme="minorHAnsi"/>
        </w:rPr>
        <w:t>perditus</w:t>
      </w:r>
      <w:proofErr w:type="spellEnd"/>
      <w:r w:rsidRPr="00EC1127">
        <w:rPr>
          <w:rFonts w:asciiTheme="minorHAnsi" w:hAnsiTheme="minorHAnsi"/>
        </w:rPr>
        <w:t xml:space="preserve">, </w:t>
      </w:r>
      <w:proofErr w:type="spellStart"/>
      <w:r w:rsidRPr="00EC1127">
        <w:rPr>
          <w:rFonts w:asciiTheme="minorHAnsi" w:hAnsiTheme="minorHAnsi"/>
        </w:rPr>
        <w:t>Tomato</w:t>
      </w:r>
      <w:proofErr w:type="spellEnd"/>
      <w:r w:rsidRPr="00EC1127">
        <w:rPr>
          <w:rFonts w:asciiTheme="minorHAnsi" w:hAnsiTheme="minorHAnsi"/>
        </w:rPr>
        <w:t xml:space="preserve"> </w:t>
      </w:r>
      <w:proofErr w:type="spellStart"/>
      <w:r w:rsidRPr="00EC1127">
        <w:rPr>
          <w:rFonts w:asciiTheme="minorHAnsi" w:hAnsiTheme="minorHAnsi"/>
        </w:rPr>
        <w:t>ringspot</w:t>
      </w:r>
      <w:proofErr w:type="spellEnd"/>
      <w:r w:rsidRPr="00EC1127">
        <w:rPr>
          <w:rFonts w:asciiTheme="minorHAnsi" w:hAnsiTheme="minorHAnsi"/>
        </w:rPr>
        <w:t xml:space="preserve"> </w:t>
      </w:r>
      <w:proofErr w:type="spellStart"/>
      <w:r w:rsidRPr="00EC1127">
        <w:rPr>
          <w:rFonts w:asciiTheme="minorHAnsi" w:hAnsiTheme="minorHAnsi"/>
        </w:rPr>
        <w:t>virus</w:t>
      </w:r>
      <w:proofErr w:type="spellEnd"/>
      <w:r w:rsidRPr="00EC1127">
        <w:rPr>
          <w:rFonts w:asciiTheme="minorHAnsi" w:hAnsiTheme="minorHAnsi"/>
        </w:rPr>
        <w:t xml:space="preserve">, </w:t>
      </w:r>
      <w:proofErr w:type="spellStart"/>
      <w:r w:rsidRPr="00EC1127">
        <w:rPr>
          <w:rFonts w:asciiTheme="minorHAnsi" w:hAnsiTheme="minorHAnsi"/>
        </w:rPr>
        <w:t>Chrysanthemum</w:t>
      </w:r>
      <w:proofErr w:type="spellEnd"/>
      <w:r w:rsidRPr="00EC1127">
        <w:rPr>
          <w:rFonts w:asciiTheme="minorHAnsi" w:hAnsiTheme="minorHAnsi"/>
        </w:rPr>
        <w:t xml:space="preserve"> </w:t>
      </w:r>
      <w:proofErr w:type="spellStart"/>
      <w:r w:rsidRPr="00EC1127">
        <w:rPr>
          <w:rFonts w:asciiTheme="minorHAnsi" w:hAnsiTheme="minorHAnsi"/>
        </w:rPr>
        <w:t>stunt</w:t>
      </w:r>
      <w:proofErr w:type="spellEnd"/>
      <w:r w:rsidRPr="00EC1127">
        <w:rPr>
          <w:rFonts w:asciiTheme="minorHAnsi" w:hAnsiTheme="minorHAnsi"/>
        </w:rPr>
        <w:t xml:space="preserve"> </w:t>
      </w:r>
      <w:proofErr w:type="spellStart"/>
      <w:r w:rsidRPr="00EC1127">
        <w:rPr>
          <w:rFonts w:asciiTheme="minorHAnsi" w:hAnsiTheme="minorHAnsi"/>
        </w:rPr>
        <w:t>pospiviroid</w:t>
      </w:r>
      <w:proofErr w:type="spellEnd"/>
      <w:r w:rsidRPr="00EC1127">
        <w:rPr>
          <w:rFonts w:asciiTheme="minorHAnsi" w:hAnsiTheme="minorHAnsi"/>
        </w:rPr>
        <w:t xml:space="preserve"> (</w:t>
      </w:r>
      <w:proofErr w:type="spellStart"/>
      <w:r w:rsidRPr="00EC1127">
        <w:rPr>
          <w:rFonts w:asciiTheme="minorHAnsi" w:hAnsiTheme="minorHAnsi"/>
        </w:rPr>
        <w:t>Chrysanthemum</w:t>
      </w:r>
      <w:proofErr w:type="spellEnd"/>
      <w:r w:rsidRPr="00EC1127">
        <w:rPr>
          <w:rFonts w:asciiTheme="minorHAnsi" w:hAnsiTheme="minorHAnsi"/>
        </w:rPr>
        <w:t xml:space="preserve"> </w:t>
      </w:r>
      <w:proofErr w:type="spellStart"/>
      <w:r w:rsidRPr="00EC1127">
        <w:rPr>
          <w:rFonts w:asciiTheme="minorHAnsi" w:hAnsiTheme="minorHAnsi"/>
        </w:rPr>
        <w:t>stunt</w:t>
      </w:r>
      <w:proofErr w:type="spellEnd"/>
      <w:r w:rsidRPr="00EC1127">
        <w:rPr>
          <w:rFonts w:asciiTheme="minorHAnsi" w:hAnsiTheme="minorHAnsi"/>
        </w:rPr>
        <w:t xml:space="preserve"> </w:t>
      </w:r>
      <w:proofErr w:type="spellStart"/>
      <w:r w:rsidRPr="00EC1127">
        <w:rPr>
          <w:rFonts w:asciiTheme="minorHAnsi" w:hAnsiTheme="minorHAnsi"/>
        </w:rPr>
        <w:t>viroid</w:t>
      </w:r>
      <w:proofErr w:type="spellEnd"/>
      <w:r w:rsidRPr="00EC1127">
        <w:rPr>
          <w:rFonts w:asciiTheme="minorHAnsi" w:hAnsiTheme="minorHAnsi"/>
        </w:rPr>
        <w:t xml:space="preserve">), kuros ietverta informācija par šo organismu ģeogrāfisko izplatību, saimniekaugiem, bioloģiju un simptomiem. Atjaunots un papildināts </w:t>
      </w:r>
      <w:proofErr w:type="spellStart"/>
      <w:r w:rsidRPr="00EC1127">
        <w:rPr>
          <w:rFonts w:asciiTheme="minorHAnsi" w:hAnsiTheme="minorHAnsi"/>
        </w:rPr>
        <w:t>Plum</w:t>
      </w:r>
      <w:proofErr w:type="spellEnd"/>
      <w:r w:rsidRPr="00EC1127">
        <w:rPr>
          <w:rFonts w:asciiTheme="minorHAnsi" w:hAnsiTheme="minorHAnsi"/>
        </w:rPr>
        <w:t xml:space="preserve"> </w:t>
      </w:r>
      <w:proofErr w:type="spellStart"/>
      <w:r w:rsidRPr="00EC1127">
        <w:rPr>
          <w:rFonts w:asciiTheme="minorHAnsi" w:hAnsiTheme="minorHAnsi"/>
        </w:rPr>
        <w:t>pox</w:t>
      </w:r>
      <w:proofErr w:type="spellEnd"/>
      <w:r w:rsidRPr="00EC1127">
        <w:rPr>
          <w:rFonts w:asciiTheme="minorHAnsi" w:hAnsiTheme="minorHAnsi"/>
        </w:rPr>
        <w:t xml:space="preserve"> </w:t>
      </w:r>
      <w:proofErr w:type="spellStart"/>
      <w:r w:rsidRPr="00EC1127">
        <w:rPr>
          <w:rFonts w:asciiTheme="minorHAnsi" w:hAnsiTheme="minorHAnsi"/>
        </w:rPr>
        <w:t>virus</w:t>
      </w:r>
      <w:proofErr w:type="spellEnd"/>
      <w:proofErr w:type="gramStart"/>
      <w:r w:rsidRPr="00EC1127">
        <w:rPr>
          <w:rFonts w:asciiTheme="minorHAnsi" w:hAnsiTheme="minorHAnsi"/>
        </w:rPr>
        <w:t xml:space="preserve">  </w:t>
      </w:r>
      <w:proofErr w:type="gramEnd"/>
      <w:r w:rsidRPr="00EC1127">
        <w:rPr>
          <w:rFonts w:asciiTheme="minorHAnsi" w:hAnsiTheme="minorHAnsi"/>
        </w:rPr>
        <w:t>apraksts.</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Par pārbaudes akta informācijas ievadīšanu informāciju Kultūraugu uzraudzības valsts informācijas sistēmā (KUVIS), lai inspektori informāciju KUVIS ievadītu atbilstoši jaunajam 2012.gada uzraudzības veikšanas plānam, atjaunoti un:</w:t>
      </w:r>
    </w:p>
    <w:p w:rsidR="00EC1127" w:rsidRPr="00EC1127" w:rsidRDefault="00EC1127" w:rsidP="001234C1">
      <w:pPr>
        <w:pStyle w:val="ListParagraph"/>
        <w:widowControl w:val="0"/>
        <w:numPr>
          <w:ilvl w:val="0"/>
          <w:numId w:val="11"/>
        </w:numPr>
        <w:tabs>
          <w:tab w:val="num" w:pos="900"/>
        </w:tabs>
        <w:spacing w:before="120"/>
        <w:ind w:left="426" w:hanging="426"/>
        <w:jc w:val="both"/>
        <w:rPr>
          <w:rFonts w:asciiTheme="minorHAnsi" w:hAnsiTheme="minorHAnsi"/>
        </w:rPr>
      </w:pPr>
      <w:r w:rsidRPr="00EC1127">
        <w:rPr>
          <w:rFonts w:asciiTheme="minorHAnsi" w:hAnsiTheme="minorHAnsi"/>
        </w:rPr>
        <w:t>Nr.14 „Pārbaudes aktu informācijas ievadīšana Kultūraugu uzraudzības valsts informācijas sistēmā (KUVIS) augu karantīnas jomā”;</w:t>
      </w:r>
    </w:p>
    <w:p w:rsidR="00EC1127" w:rsidRPr="00EC1127" w:rsidRDefault="00EC1127" w:rsidP="001234C1">
      <w:pPr>
        <w:pStyle w:val="ListParagraph"/>
        <w:widowControl w:val="0"/>
        <w:numPr>
          <w:ilvl w:val="0"/>
          <w:numId w:val="11"/>
        </w:numPr>
        <w:tabs>
          <w:tab w:val="num" w:pos="900"/>
        </w:tabs>
        <w:spacing w:before="120"/>
        <w:ind w:left="426" w:hanging="426"/>
        <w:jc w:val="both"/>
        <w:rPr>
          <w:rFonts w:asciiTheme="minorHAnsi" w:hAnsiTheme="minorHAnsi"/>
        </w:rPr>
      </w:pPr>
      <w:r w:rsidRPr="00EC1127">
        <w:rPr>
          <w:rFonts w:asciiTheme="minorHAnsi" w:hAnsiTheme="minorHAnsi"/>
        </w:rPr>
        <w:t>Nr.15 „Reģionālo nodaļu plāna augu karantīnas jomā 2012.gadā saistība ar KUVIS (pārbaudes aktu informācijas ievadīšanai)”.</w:t>
      </w:r>
    </w:p>
    <w:p w:rsidR="00EC1127" w:rsidRPr="00EC1127" w:rsidRDefault="00EC1127" w:rsidP="001234C1">
      <w:pPr>
        <w:pStyle w:val="ListParagraph"/>
        <w:widowControl w:val="0"/>
        <w:numPr>
          <w:ilvl w:val="0"/>
          <w:numId w:val="11"/>
        </w:numPr>
        <w:spacing w:before="120"/>
        <w:ind w:left="426" w:hanging="426"/>
        <w:jc w:val="both"/>
        <w:rPr>
          <w:rFonts w:asciiTheme="minorHAnsi" w:hAnsiTheme="minorHAnsi"/>
        </w:rPr>
      </w:pPr>
      <w:r w:rsidRPr="00EC1127">
        <w:rPr>
          <w:rFonts w:asciiTheme="minorHAnsi" w:hAnsiTheme="minorHAnsi"/>
        </w:rPr>
        <w:t>Atjaunots informatīvais materiāls Nr.8 „Fitosanitārās prasības, kas jāievēro eksportējot kūdru uz trešajām valstīm”</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Arī 2012.gadā reģionālo nodaļu inspektoriem augu karantīnas jomā noorganizētas mācības. Kā jau parasti, mācības notika pavasarī, pirms intensīvas pārbaužu uzsākšanas, lai pievērstu uzmanību svarīgākajiem aspektiem pārbaužu veikšanā, un rudenī, lai pārrunātu problēmas, kuras radušās darba procesā. Mācībās arī sniegta informācija par izmaiņām normatīvajos aktos un to praktisko izpildi. </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Pavasarī uzmanība bija pievērsta informācijas ievadīšanā KUVIS, pārrunājot iepriekš pieļautās kļūdas un neprecizitātes, kuras traucē kvalitatīvi sagatavot pārskatus. Izskaidrots par jauno </w:t>
      </w:r>
      <w:r w:rsidR="004B6E67">
        <w:rPr>
          <w:rFonts w:asciiTheme="minorHAnsi" w:hAnsiTheme="minorHAnsi"/>
        </w:rPr>
        <w:t>VAAD</w:t>
      </w:r>
      <w:r w:rsidR="004B6E67" w:rsidRPr="00EC1127">
        <w:rPr>
          <w:rFonts w:asciiTheme="minorHAnsi" w:hAnsiTheme="minorHAnsi"/>
        </w:rPr>
        <w:t xml:space="preserve"> </w:t>
      </w:r>
      <w:r w:rsidRPr="00EC1127">
        <w:rPr>
          <w:rFonts w:asciiTheme="minorHAnsi" w:hAnsiTheme="minorHAnsi"/>
        </w:rPr>
        <w:t xml:space="preserve">instrukciju par no trešajām valstīm ievestā prasībām neatbilstošā koksnes iepakojamā materiāla pārbaudēm, pārrunāta </w:t>
      </w:r>
      <w:r w:rsidR="004B6E67">
        <w:rPr>
          <w:rFonts w:asciiTheme="minorHAnsi" w:hAnsiTheme="minorHAnsi"/>
        </w:rPr>
        <w:t>VAAD</w:t>
      </w:r>
      <w:smartTag w:uri="schemas-tilde-lv/tildestengine" w:element="veidnes">
        <w:smartTagPr>
          <w:attr w:name="text" w:val="instrukcija"/>
          <w:attr w:name="baseform" w:val="instrukcija"/>
          <w:attr w:name="id" w:val="-1"/>
        </w:smartTagPr>
        <w:r w:rsidR="004B6E67" w:rsidRPr="00EC1127">
          <w:rPr>
            <w:rFonts w:asciiTheme="minorHAnsi" w:hAnsiTheme="minorHAnsi"/>
          </w:rPr>
          <w:t xml:space="preserve"> </w:t>
        </w:r>
        <w:r w:rsidRPr="00EC1127">
          <w:rPr>
            <w:rFonts w:asciiTheme="minorHAnsi" w:hAnsiTheme="minorHAnsi"/>
          </w:rPr>
          <w:t>instrukcija</w:t>
        </w:r>
      </w:smartTag>
      <w:r w:rsidRPr="00EC1127">
        <w:rPr>
          <w:rFonts w:asciiTheme="minorHAnsi" w:hAnsiTheme="minorHAnsi"/>
        </w:rPr>
        <w:t xml:space="preserve"> par pārbaudēm tirdzniecības vietās. Tāpat arī pārrunāti jautājumi par pārbaužu veikšanu uzņēmumos, kuri veic koksnes iepakojamā materiāla termisko apstrādi un marķēšanu, saskaņā ar Ministru Kabineta noteikumiem par koksnes iepakojamo materiālu. Nacionālās fitosanitārās laboratorijas eksperti vadīja praktiskās nodarbības entomoloģijā. Lai pārliecinātos, kā inspektori teorētiski izskatītos jautājumus prot pielietot praksē, organizēts grupu darbs, kad inspektoriem, strādājot kolektīvi vairākās grupās, vajadzēja izanalizēt un izstāstīt savu rīcību jau pavisam reālās situācijās. Uzdevumos bija jāanalizē pārbaudes veikšana stādu tirdzniecības vietā, pārbaude stādaudzētavā un pārbaude koksnes iepakojamā materiāla marķēšanas uzņēmumā. Šāda veida uzdevumi palīdz inspektoriem izanalizēt un izvērtēt situāciju, ņemot vērā praktisko pieredzi un reālo situāciju, dalīties pieredzē savā starpā, kā arī izvērtēt kolēģu rīcību konkrētajā situācijā.</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Savukārt rudens mācībās pārrunāti jautājumi par Koksnes iepakojamā materiāla marķēšanas </w:t>
      </w:r>
      <w:r w:rsidRPr="00EC1127">
        <w:rPr>
          <w:rFonts w:asciiTheme="minorHAnsi" w:hAnsiTheme="minorHAnsi"/>
        </w:rPr>
        <w:lastRenderedPageBreak/>
        <w:t xml:space="preserve">uzņēmumu reģistrā iekļauto uzņēmumu pārbaužu veikšanu un konstatētajām problēmām, sniegts izvērtējums augsnes paraugu ņemšanas eksāmena rezultātiem, pārrunāti jautājumi par inspektoru uzraudzības pārbaudēs konstatētajām nepilnībām, sniegta informācija par re-eksportu un informatīvo materiālu par prasībām kūdras eksportam. Arī šajās mācībās inspektoriem tika uzdots darbs grupās, šoreiz par fitosanitāro pasākumu piemērošanu kartupeļu gaišās gredzenpuves konstatēšanas gadījumā, jo šis jautājums kļūst aktuāls tieši rudens periodā. </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Bez šīm ierastajām mācībām pavasarī un rudenī, papildus noorganizētas un novadītas praktiskās mācības par Ministru kabineta 2012.gada 28.februāra noteikumu Nr. 145 „Noteikumi par fitosanitāriem pasākumiem un to piemērošanas kārtību koksnes iepakojamam” praktisko piemērošanu, jo ar šiem noteikumiem nedaudz mainījās pārbaužu veikšanas kārtība reģistrētajos koksnes iepakojamā materiāla uzņēmumos. Mācības tika organizētas trīs reģionālajās nodaļās un pārbaudi koksnes termiskās apstrādes un marķēšanas uzņēmumā veica attiecīgās reģionālās nodaļas inspektors, piedaloties citiem inspektoriem un Augu karantīnas departamenta pārstāvjiem. Tādējādi bija iespējams kopīgi pārrunāt kritērijus un principus pārbaudes veikšanai, kā arī pārspriest pārbaudes aktā norādāmo informāciju.</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Vasarā vēl notika mācības par monitoringa veikšanu priežu koksnes nematodes atklāšanai. Arī šīs mācības tika organizētas trīs reģionālajās nodaļās. Tajās ar prezentāciju par šī kaitīgā organisma bioloģiju, izplatīšanos un paraugu ņemšanu piedalījās arī Nacionālās fitosanitārās laboratorijas eksperts. Savukārt Augu karantīnas departamenta pārstāvis izskaidroja par pārbaužu veikšanu, uzmanību pievēršot pārbaudes laikam, pārbaudes veikšanas kārtībai, pārbaudes aktā norādāmajai informācijai</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Tā kā 2011./2012.gada rudens/ ziemas periodā darbu augu karantīnas jomā uzsākuši vairāki jauni inspektori, tad viņi papildus apmeklēja vienas dienas mācības „Pamatjautājumi augu karantīnā”. Mācībās inspektoriem tika sniegta vispārīga informācija par pamatprincipiem augu karantīnā, ārējiem un iekšējiem normatīvajiem aktiem, pārbaudes aktu noformēšanu un lēmumu pieņemšanu, informācijas par veiktajām pārbaudēm ievadīšanu KUVIS, fitosanitāro sertifikātu izsniegšanu, pavairojamā materiāla pārbaudēm un augu pasēm.</w:t>
      </w:r>
    </w:p>
    <w:p w:rsidR="00EC1127" w:rsidRPr="00EC1127" w:rsidRDefault="00EC1127" w:rsidP="00EC1127">
      <w:pPr>
        <w:widowControl w:val="0"/>
        <w:spacing w:before="120"/>
        <w:jc w:val="both"/>
        <w:rPr>
          <w:rFonts w:asciiTheme="minorHAnsi" w:hAnsiTheme="minorHAnsi"/>
        </w:rPr>
      </w:pPr>
      <w:r w:rsidRPr="00EC1127">
        <w:rPr>
          <w:rFonts w:asciiTheme="minorHAnsi" w:hAnsiTheme="minorHAnsi"/>
        </w:rPr>
        <w:t xml:space="preserve">No trešajām valstīm ievestā augu un augu produktu fitosanitārā kontrole ir nodeleģēta Pārtikas un veterinārajam dienestam (PVD). </w:t>
      </w:r>
      <w:r>
        <w:rPr>
          <w:rFonts w:asciiTheme="minorHAnsi" w:hAnsiTheme="minorHAnsi"/>
        </w:rPr>
        <w:t xml:space="preserve">Augu karantīnas </w:t>
      </w:r>
      <w:r w:rsidRPr="00EC1127">
        <w:rPr>
          <w:rFonts w:asciiTheme="minorHAnsi" w:hAnsiTheme="minorHAnsi"/>
        </w:rPr>
        <w:t>departamenta pārstāvji piedalās PVD Robežkontroles departamenta organizētajās sanāksmēs, informējot par aktuālajiem jautājumiem augu karantīnas jomā, kā arī pārrunājot problēmsituācijas importējot augus un augu produktus Latvijā. 2012.gadā departamenta pārstāvji piedalījās PVD Robežkontroles departamenta fitosanitāro inspektoru apmācībās, ar prezentācijām par prasībām koksnes iepakojamam materiālam, izmaiņām ES normatīvajos aktos.</w:t>
      </w:r>
    </w:p>
    <w:p w:rsidR="00492254" w:rsidRPr="008642AD" w:rsidRDefault="00D63AA2" w:rsidP="001C5E8A">
      <w:pPr>
        <w:widowControl w:val="0"/>
        <w:shd w:val="clear" w:color="auto" w:fill="EAF1DD" w:themeFill="accent3" w:themeFillTint="33"/>
        <w:spacing w:before="120"/>
        <w:jc w:val="both"/>
        <w:rPr>
          <w:u w:val="single"/>
        </w:rPr>
      </w:pPr>
      <w:r>
        <w:rPr>
          <w:rFonts w:asciiTheme="minorHAnsi" w:hAnsiTheme="minorHAnsi"/>
          <w:sz w:val="28"/>
        </w:rPr>
        <w:br w:type="page"/>
      </w:r>
      <w:r w:rsidR="00492254">
        <w:rPr>
          <w:rFonts w:asciiTheme="minorHAnsi" w:hAnsiTheme="minorHAnsi"/>
          <w:sz w:val="28"/>
        </w:rPr>
        <w:lastRenderedPageBreak/>
        <w:t>R</w:t>
      </w:r>
      <w:r w:rsidR="00492254" w:rsidRPr="00282FF5">
        <w:rPr>
          <w:rFonts w:asciiTheme="minorHAnsi" w:hAnsiTheme="minorHAnsi"/>
          <w:sz w:val="28"/>
        </w:rPr>
        <w:t>ezultatīvo rādītāju izpildes analīze</w:t>
      </w:r>
    </w:p>
    <w:p w:rsidR="00492254" w:rsidRPr="00282FF5" w:rsidRDefault="00492254" w:rsidP="00492254">
      <w:pPr>
        <w:widowControl w:val="0"/>
        <w:spacing w:before="120"/>
        <w:jc w:val="both"/>
        <w:rPr>
          <w:rFonts w:asciiTheme="minorHAnsi" w:hAnsiTheme="minorHAnsi"/>
        </w:rPr>
      </w:pPr>
      <w:r w:rsidRPr="00282FF5">
        <w:rPr>
          <w:rFonts w:asciiTheme="minorHAnsi" w:hAnsiTheme="minorHAnsi"/>
        </w:rPr>
        <w:t>Darbu augu karantīnas jomā un šīs darbības rezultātus raksturo divi politikas rezultatīvie rādītāji:</w:t>
      </w:r>
    </w:p>
    <w:p w:rsidR="00492254" w:rsidRPr="00282FF5" w:rsidRDefault="00492254" w:rsidP="00492254">
      <w:pPr>
        <w:widowControl w:val="0"/>
        <w:spacing w:before="120"/>
        <w:jc w:val="both"/>
        <w:rPr>
          <w:rFonts w:asciiTheme="minorHAnsi" w:hAnsiTheme="minorHAnsi"/>
          <w:b/>
        </w:rPr>
      </w:pPr>
      <w:r w:rsidRPr="00282FF5">
        <w:rPr>
          <w:rFonts w:asciiTheme="minorHAnsi" w:hAnsiTheme="minorHAnsi"/>
          <w:b/>
        </w:rPr>
        <w:t xml:space="preserve">1) Nodrošināt, lai Latvijas teritorijā neieviestos jauni augu karantīnas organismi. </w:t>
      </w:r>
    </w:p>
    <w:p w:rsidR="00492254" w:rsidRPr="00282FF5" w:rsidRDefault="00492254" w:rsidP="00492254">
      <w:pPr>
        <w:widowControl w:val="0"/>
        <w:spacing w:before="120"/>
        <w:jc w:val="both"/>
        <w:rPr>
          <w:rFonts w:asciiTheme="minorHAnsi" w:hAnsiTheme="minorHAnsi"/>
        </w:rPr>
      </w:pPr>
      <w:r w:rsidRPr="00282FF5">
        <w:rPr>
          <w:rFonts w:asciiTheme="minorHAnsi" w:hAnsiTheme="minorHAnsi"/>
        </w:rPr>
        <w:t xml:space="preserve">Lai nodrošinātu, ka Latvijā neieviešas un neizplatās jauni augu karantīnas organismi, </w:t>
      </w:r>
      <w:r>
        <w:rPr>
          <w:rFonts w:asciiTheme="minorHAnsi" w:hAnsiTheme="minorHAnsi"/>
        </w:rPr>
        <w:t>VAAD</w:t>
      </w:r>
      <w:r w:rsidRPr="00282FF5">
        <w:rPr>
          <w:rFonts w:asciiTheme="minorHAnsi" w:hAnsiTheme="minorHAnsi"/>
        </w:rPr>
        <w:t xml:space="preserve"> veic regulāras pārbaudes Latvijas teritorijā, kā arī pārbauda ievestos augu un augu produktus. </w:t>
      </w:r>
    </w:p>
    <w:p w:rsidR="00492254" w:rsidRPr="00282FF5" w:rsidRDefault="00492254" w:rsidP="00492254">
      <w:pPr>
        <w:widowControl w:val="0"/>
        <w:spacing w:before="120"/>
        <w:jc w:val="both"/>
        <w:rPr>
          <w:rFonts w:asciiTheme="minorHAnsi" w:hAnsiTheme="minorHAnsi"/>
        </w:rPr>
      </w:pPr>
      <w:r w:rsidRPr="00282FF5">
        <w:rPr>
          <w:rFonts w:asciiTheme="minorHAnsi" w:hAnsiTheme="minorHAnsi"/>
        </w:rPr>
        <w:t xml:space="preserve">2012.gadā pārbaudēs konstatēts jauns augu karantīnas organisms </w:t>
      </w:r>
      <w:proofErr w:type="spellStart"/>
      <w:r w:rsidRPr="00282FF5">
        <w:rPr>
          <w:rFonts w:asciiTheme="minorHAnsi" w:hAnsiTheme="minorHAnsi"/>
        </w:rPr>
        <w:t>Mycosphaerella</w:t>
      </w:r>
      <w:proofErr w:type="spellEnd"/>
      <w:r w:rsidRPr="00282FF5">
        <w:rPr>
          <w:rFonts w:asciiTheme="minorHAnsi" w:hAnsiTheme="minorHAnsi"/>
        </w:rPr>
        <w:t xml:space="preserve"> </w:t>
      </w:r>
      <w:proofErr w:type="spellStart"/>
      <w:r w:rsidRPr="00282FF5">
        <w:rPr>
          <w:rFonts w:asciiTheme="minorHAnsi" w:hAnsiTheme="minorHAnsi"/>
        </w:rPr>
        <w:t>dearnessii</w:t>
      </w:r>
      <w:proofErr w:type="spellEnd"/>
      <w:r w:rsidRPr="00282FF5">
        <w:rPr>
          <w:rFonts w:asciiTheme="minorHAnsi" w:hAnsiTheme="minorHAnsi"/>
        </w:rPr>
        <w:t xml:space="preserve"> </w:t>
      </w:r>
      <w:proofErr w:type="spellStart"/>
      <w:r w:rsidRPr="00282FF5">
        <w:rPr>
          <w:rFonts w:asciiTheme="minorHAnsi" w:hAnsiTheme="minorHAnsi"/>
        </w:rPr>
        <w:t>M.E.Barr</w:t>
      </w:r>
      <w:proofErr w:type="spellEnd"/>
      <w:r w:rsidRPr="00282FF5">
        <w:rPr>
          <w:rFonts w:asciiTheme="minorHAnsi" w:hAnsiTheme="minorHAnsi"/>
        </w:rPr>
        <w:t xml:space="preserve"> uz 23 gadus vecai klājeniskās priedes </w:t>
      </w:r>
      <w:proofErr w:type="spellStart"/>
      <w:r w:rsidRPr="00282FF5">
        <w:rPr>
          <w:rFonts w:asciiTheme="minorHAnsi" w:hAnsiTheme="minorHAnsi"/>
        </w:rPr>
        <w:t>Pinus</w:t>
      </w:r>
      <w:proofErr w:type="spellEnd"/>
      <w:r w:rsidRPr="00282FF5">
        <w:rPr>
          <w:rFonts w:asciiTheme="minorHAnsi" w:hAnsiTheme="minorHAnsi"/>
        </w:rPr>
        <w:t xml:space="preserve"> </w:t>
      </w:r>
      <w:proofErr w:type="spellStart"/>
      <w:r w:rsidRPr="00282FF5">
        <w:rPr>
          <w:rFonts w:asciiTheme="minorHAnsi" w:hAnsiTheme="minorHAnsi"/>
        </w:rPr>
        <w:t>pumila</w:t>
      </w:r>
      <w:proofErr w:type="spellEnd"/>
      <w:r w:rsidRPr="00282FF5">
        <w:rPr>
          <w:rFonts w:asciiTheme="minorHAnsi" w:hAnsiTheme="minorHAnsi"/>
        </w:rPr>
        <w:t xml:space="preserve"> (vienam augam) dendrārijā.</w:t>
      </w:r>
    </w:p>
    <w:p w:rsidR="00492254" w:rsidRPr="00282FF5" w:rsidRDefault="00492254" w:rsidP="00492254">
      <w:pPr>
        <w:widowControl w:val="0"/>
        <w:spacing w:before="120"/>
        <w:jc w:val="both"/>
        <w:rPr>
          <w:rFonts w:asciiTheme="minorHAnsi" w:hAnsiTheme="minorHAnsi"/>
        </w:rPr>
      </w:pPr>
      <w:r w:rsidRPr="00282FF5">
        <w:rPr>
          <w:rFonts w:asciiTheme="minorHAnsi" w:hAnsiTheme="minorHAnsi"/>
        </w:rPr>
        <w:t xml:space="preserve">Pēc 2012.gada pārbaudēm tika konstatēts, ka Latvijā kopējais Latvijā sastopamo augu karantīnas un augiem sevišķi bīstamo organismu skaits, kas jebkad identificēti </w:t>
      </w:r>
      <w:r>
        <w:rPr>
          <w:rFonts w:asciiTheme="minorHAnsi" w:hAnsiTheme="minorHAnsi"/>
        </w:rPr>
        <w:t>VAAD</w:t>
      </w:r>
      <w:r w:rsidRPr="00282FF5">
        <w:rPr>
          <w:rFonts w:asciiTheme="minorHAnsi" w:hAnsiTheme="minorHAnsi"/>
        </w:rPr>
        <w:t xml:space="preserve"> Nacionālajā Fitosanitārajā laboratorijā, ir 14.</w:t>
      </w:r>
    </w:p>
    <w:p w:rsidR="00492254" w:rsidRPr="00282FF5" w:rsidRDefault="00492254" w:rsidP="00492254">
      <w:pPr>
        <w:widowControl w:val="0"/>
        <w:spacing w:before="120"/>
        <w:jc w:val="both"/>
        <w:rPr>
          <w:rFonts w:asciiTheme="minorHAnsi" w:hAnsiTheme="minorHAnsi"/>
          <w:b/>
        </w:rPr>
      </w:pPr>
      <w:r w:rsidRPr="00282FF5">
        <w:rPr>
          <w:rFonts w:asciiTheme="minorHAnsi" w:hAnsiTheme="minorHAnsi"/>
          <w:b/>
        </w:rPr>
        <w:t xml:space="preserve">2) Nodrošināt eksportējamo augu valsts izcelsmes produkcijas kravu atbilstību </w:t>
      </w:r>
      <w:proofErr w:type="spellStart"/>
      <w:r w:rsidRPr="00282FF5">
        <w:rPr>
          <w:rFonts w:asciiTheme="minorHAnsi" w:hAnsiTheme="minorHAnsi"/>
          <w:b/>
        </w:rPr>
        <w:t>ievedējvalsts</w:t>
      </w:r>
      <w:proofErr w:type="spellEnd"/>
      <w:r w:rsidRPr="00282FF5">
        <w:rPr>
          <w:rFonts w:asciiTheme="minorHAnsi" w:hAnsiTheme="minorHAnsi"/>
          <w:b/>
        </w:rPr>
        <w:t xml:space="preserve"> fitosanitārajām prasībām tā, lai nepalielinātos saņemto notifikāciju skaits par fitosanitāro prasību pārkāpumiem.</w:t>
      </w:r>
    </w:p>
    <w:p w:rsidR="00492254" w:rsidRPr="00282FF5" w:rsidRDefault="00492254" w:rsidP="00492254">
      <w:pPr>
        <w:widowControl w:val="0"/>
        <w:spacing w:before="120"/>
        <w:jc w:val="both"/>
        <w:rPr>
          <w:rFonts w:asciiTheme="minorHAnsi" w:hAnsiTheme="minorHAnsi"/>
        </w:rPr>
      </w:pPr>
      <w:r w:rsidRPr="00282FF5">
        <w:rPr>
          <w:rFonts w:asciiTheme="minorHAnsi" w:hAnsiTheme="minorHAnsi"/>
        </w:rPr>
        <w:t>Lai nodrošinātu augu un augu produktu kravu eksportu uz trešajām valstīm (valstīm, kas nav Eiropas Savienības dalībvalstis), tiek veikta eksportējamo kravu fitosanitārā kontrole, lai noteiktu to atbilstību importētājvalsts fitosanitārajām prasībām un atbilstības gadījumā izsniegtu fitosanitāro sertifikātu. 2012.gadā eksportētas 29569 kravas, kam izsniegti fitosanitārie sertifikāti. No tām 5 kravas neatbilda importētājvalstu fitosanitārajām prasībām un saņemtas 4 notifikācijas. Saņemto notifikāciju skaits sastāda 0,02 % no eksportēto kravu skaita.</w:t>
      </w:r>
    </w:p>
    <w:p w:rsidR="00492254" w:rsidRDefault="00492254" w:rsidP="00492254">
      <w:pPr>
        <w:rPr>
          <w:rFonts w:asciiTheme="minorHAnsi" w:hAnsiTheme="minorHAnsi"/>
        </w:rPr>
      </w:pPr>
    </w:p>
    <w:p w:rsidR="00492254" w:rsidRPr="007A14A3" w:rsidRDefault="00492254" w:rsidP="00492254">
      <w:pPr>
        <w:shd w:val="clear" w:color="auto" w:fill="DAEEF3" w:themeFill="accent5" w:themeFillTint="33"/>
        <w:jc w:val="both"/>
        <w:rPr>
          <w:color w:val="000000"/>
        </w:rPr>
      </w:pPr>
      <w:r w:rsidRPr="00936618">
        <w:rPr>
          <w:rFonts w:asciiTheme="minorHAnsi" w:hAnsiTheme="minorHAnsi"/>
        </w:rPr>
        <w:t xml:space="preserve">Saņemto notifikāciju skaits (%) no eksportēto kravu skaitu 2008.-2012.gadam </w:t>
      </w:r>
    </w:p>
    <w:p w:rsidR="00492254" w:rsidRDefault="00492254" w:rsidP="00492254">
      <w:pPr>
        <w:ind w:firstLine="600"/>
        <w:jc w:val="center"/>
      </w:pPr>
      <w:r>
        <w:t xml:space="preserve">                                                                              </w:t>
      </w: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196"/>
        <w:gridCol w:w="3060"/>
        <w:gridCol w:w="1800"/>
      </w:tblGrid>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b/>
                <w:sz w:val="20"/>
                <w:szCs w:val="20"/>
              </w:rPr>
            </w:pPr>
            <w:r w:rsidRPr="00376E4F">
              <w:rPr>
                <w:rFonts w:asciiTheme="minorHAnsi" w:hAnsiTheme="minorHAnsi"/>
                <w:b/>
                <w:sz w:val="20"/>
                <w:szCs w:val="20"/>
              </w:rPr>
              <w:t>Pārskata periods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b/>
                <w:sz w:val="20"/>
                <w:szCs w:val="20"/>
              </w:rPr>
            </w:pPr>
            <w:r w:rsidRPr="00376E4F">
              <w:rPr>
                <w:rFonts w:asciiTheme="minorHAnsi" w:hAnsiTheme="minorHAnsi"/>
                <w:b/>
                <w:sz w:val="20"/>
                <w:szCs w:val="20"/>
              </w:rPr>
              <w:t>Saņemto notifikāciju skaits procentos no eksportēto kravu skaita (%)</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Procentuālais samazinājums (%)</w:t>
            </w:r>
          </w:p>
        </w:tc>
      </w:tr>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sz w:val="20"/>
                <w:szCs w:val="20"/>
              </w:rPr>
            </w:pPr>
            <w:r w:rsidRPr="00376E4F">
              <w:rPr>
                <w:rFonts w:asciiTheme="minorHAnsi" w:hAnsiTheme="minorHAnsi"/>
                <w:sz w:val="20"/>
                <w:szCs w:val="20"/>
              </w:rPr>
              <w:t>2008.gads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0,3</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0,1</w:t>
            </w:r>
          </w:p>
        </w:tc>
      </w:tr>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sz w:val="20"/>
                <w:szCs w:val="20"/>
              </w:rPr>
            </w:pPr>
            <w:r w:rsidRPr="00376E4F">
              <w:rPr>
                <w:rFonts w:asciiTheme="minorHAnsi" w:hAnsiTheme="minorHAnsi"/>
                <w:sz w:val="20"/>
                <w:szCs w:val="20"/>
              </w:rPr>
              <w:t>2009.gads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0,2</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0,1</w:t>
            </w:r>
          </w:p>
        </w:tc>
      </w:tr>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sz w:val="20"/>
                <w:szCs w:val="20"/>
              </w:rPr>
            </w:pPr>
            <w:r w:rsidRPr="00376E4F">
              <w:rPr>
                <w:rFonts w:asciiTheme="minorHAnsi" w:hAnsiTheme="minorHAnsi"/>
                <w:sz w:val="20"/>
                <w:szCs w:val="20"/>
              </w:rPr>
              <w:t>2010.gads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0,05</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0,15</w:t>
            </w:r>
          </w:p>
        </w:tc>
      </w:tr>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sz w:val="20"/>
                <w:szCs w:val="20"/>
              </w:rPr>
            </w:pPr>
            <w:r w:rsidRPr="00376E4F">
              <w:rPr>
                <w:rFonts w:asciiTheme="minorHAnsi" w:hAnsiTheme="minorHAnsi"/>
                <w:sz w:val="20"/>
                <w:szCs w:val="20"/>
              </w:rPr>
              <w:t>2011.gads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0,02</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0,03</w:t>
            </w:r>
          </w:p>
        </w:tc>
      </w:tr>
      <w:tr w:rsidR="00492254" w:rsidRPr="00376E4F" w:rsidTr="00DA62F2">
        <w:tc>
          <w:tcPr>
            <w:tcW w:w="1196" w:type="dxa"/>
            <w:shd w:val="clear" w:color="auto" w:fill="auto"/>
          </w:tcPr>
          <w:p w:rsidR="00492254" w:rsidRPr="00376E4F" w:rsidRDefault="00492254" w:rsidP="00DA62F2">
            <w:pPr>
              <w:widowControl w:val="0"/>
              <w:spacing w:line="285" w:lineRule="auto"/>
              <w:rPr>
                <w:rFonts w:asciiTheme="minorHAnsi" w:hAnsiTheme="minorHAnsi"/>
                <w:sz w:val="20"/>
                <w:szCs w:val="20"/>
              </w:rPr>
            </w:pPr>
            <w:r w:rsidRPr="00376E4F">
              <w:rPr>
                <w:rFonts w:asciiTheme="minorHAnsi" w:hAnsiTheme="minorHAnsi"/>
                <w:sz w:val="20"/>
                <w:szCs w:val="20"/>
              </w:rPr>
              <w:t>2012.gads</w:t>
            </w:r>
          </w:p>
        </w:tc>
        <w:tc>
          <w:tcPr>
            <w:tcW w:w="306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0,02</w:t>
            </w:r>
          </w:p>
        </w:tc>
        <w:tc>
          <w:tcPr>
            <w:tcW w:w="1800" w:type="dxa"/>
            <w:shd w:val="clear" w:color="auto" w:fill="auto"/>
          </w:tcPr>
          <w:p w:rsidR="00492254" w:rsidRPr="00376E4F" w:rsidRDefault="00492254" w:rsidP="00DA62F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bl>
    <w:p w:rsidR="00492254" w:rsidRPr="00936618" w:rsidRDefault="00492254" w:rsidP="00492254">
      <w:pPr>
        <w:widowControl w:val="0"/>
        <w:spacing w:before="120"/>
        <w:jc w:val="both"/>
        <w:rPr>
          <w:rFonts w:asciiTheme="minorHAnsi" w:hAnsiTheme="minorHAnsi"/>
        </w:rPr>
      </w:pPr>
      <w:r w:rsidRPr="00936618">
        <w:rPr>
          <w:rFonts w:asciiTheme="minorHAnsi" w:hAnsiTheme="minorHAnsi"/>
        </w:rPr>
        <w:t>Pēc tabulas datiem ir vērojams, ka pēdējo 5 gadu laikā saņemto notifikāciju skaits procentos no kopējo eksportēto kravu skaitu ar katru gadu samazinās, izņemot 2012.gadu, kad saņemto notifikāciju skaits % no kopējā eksportēto kravu skaita 2012.gadā nemainījās.</w:t>
      </w:r>
    </w:p>
    <w:p w:rsidR="00492254" w:rsidRDefault="00492254">
      <w:pPr>
        <w:rPr>
          <w:rFonts w:asciiTheme="minorHAnsi" w:hAnsiTheme="minorHAnsi"/>
          <w:sz w:val="28"/>
        </w:rPr>
      </w:pPr>
      <w:r>
        <w:rPr>
          <w:rFonts w:asciiTheme="minorHAnsi" w:hAnsiTheme="minorHAnsi"/>
          <w:sz w:val="28"/>
        </w:rPr>
        <w:br w:type="page"/>
      </w:r>
    </w:p>
    <w:p w:rsidR="00D63AA2" w:rsidRDefault="00D63AA2">
      <w:pPr>
        <w:rPr>
          <w:rFonts w:asciiTheme="minorHAnsi" w:hAnsiTheme="minorHAnsi"/>
          <w:sz w:val="28"/>
        </w:rPr>
      </w:pPr>
    </w:p>
    <w:p w:rsidR="00EC1127" w:rsidRPr="00E30CF2" w:rsidRDefault="00492254" w:rsidP="00EC1127">
      <w:pPr>
        <w:widowControl w:val="0"/>
        <w:shd w:val="clear" w:color="auto" w:fill="EAF1DD" w:themeFill="accent3" w:themeFillTint="33"/>
        <w:spacing w:before="120"/>
        <w:jc w:val="both"/>
        <w:rPr>
          <w:i/>
          <w:u w:val="single"/>
        </w:rPr>
      </w:pPr>
      <w:r>
        <w:rPr>
          <w:rFonts w:asciiTheme="minorHAnsi" w:hAnsiTheme="minorHAnsi"/>
          <w:sz w:val="28"/>
        </w:rPr>
        <w:t xml:space="preserve">4.2.1. </w:t>
      </w:r>
      <w:r w:rsidR="00EC1127" w:rsidRPr="00EC1127">
        <w:rPr>
          <w:rFonts w:asciiTheme="minorHAnsi" w:hAnsiTheme="minorHAnsi"/>
          <w:sz w:val="28"/>
        </w:rPr>
        <w:t xml:space="preserve">Aizsargājamās zonas statusa uzturēšana un saglabāšana bakteriālajai </w:t>
      </w:r>
      <w:proofErr w:type="spellStart"/>
      <w:r w:rsidR="00EC1127" w:rsidRPr="00EC1127">
        <w:rPr>
          <w:rFonts w:asciiTheme="minorHAnsi" w:hAnsiTheme="minorHAnsi"/>
          <w:sz w:val="28"/>
        </w:rPr>
        <w:t>iedegai</w:t>
      </w:r>
      <w:proofErr w:type="spellEnd"/>
      <w:r w:rsidR="00EC1127" w:rsidRPr="00E30CF2">
        <w:rPr>
          <w:i/>
          <w:u w:val="single"/>
        </w:rPr>
        <w:t xml:space="preserve"> </w:t>
      </w:r>
    </w:p>
    <w:p w:rsidR="001C5E8A" w:rsidRDefault="00EC1127" w:rsidP="00EC1127">
      <w:pPr>
        <w:widowControl w:val="0"/>
        <w:spacing w:before="120"/>
        <w:jc w:val="both"/>
        <w:rPr>
          <w:rFonts w:asciiTheme="minorHAnsi" w:hAnsiTheme="minorHAnsi"/>
          <w:i/>
          <w:color w:val="943634" w:themeColor="accent2" w:themeShade="BF"/>
        </w:rPr>
      </w:pPr>
      <w:r w:rsidRPr="003F6595">
        <w:rPr>
          <w:rFonts w:asciiTheme="minorHAnsi" w:hAnsiTheme="minorHAnsi"/>
          <w:sz w:val="22"/>
        </w:rPr>
        <w:t xml:space="preserve">Bakteriālās iedegas pirmo reizi Latvijas Republikā </w:t>
      </w:r>
      <w:r w:rsidR="00555E71" w:rsidRPr="003F6595">
        <w:rPr>
          <w:rFonts w:asciiTheme="minorHAnsi" w:hAnsiTheme="minorHAnsi"/>
          <w:sz w:val="22"/>
        </w:rPr>
        <w:t>VAAD</w:t>
      </w:r>
      <w:r w:rsidRPr="003F6595">
        <w:rPr>
          <w:rFonts w:asciiTheme="minorHAnsi" w:hAnsiTheme="minorHAnsi"/>
          <w:sz w:val="22"/>
        </w:rPr>
        <w:t xml:space="preserve"> konstatēja 2007.gadā. Apsekojumi organisma konstatēšanai tika veikti jau kopš 1965.gada, bet oficiāls monitorings uzsākts no 1998.gada.</w:t>
      </w:r>
      <w:r w:rsidR="001C5E8A" w:rsidRPr="001C5E8A">
        <w:rPr>
          <w:rFonts w:asciiTheme="minorHAnsi" w:hAnsiTheme="minorHAnsi"/>
          <w:i/>
          <w:color w:val="943634" w:themeColor="accent2" w:themeShade="BF"/>
        </w:rPr>
        <w:t xml:space="preserve"> </w:t>
      </w:r>
    </w:p>
    <w:p w:rsidR="001C5E8A" w:rsidRDefault="001C5E8A" w:rsidP="001C5E8A">
      <w:pPr>
        <w:widowControl w:val="0"/>
        <w:spacing w:before="120"/>
        <w:jc w:val="both"/>
        <w:rPr>
          <w:rFonts w:asciiTheme="minorHAnsi" w:hAnsiTheme="minorHAnsi"/>
          <w:i/>
          <w:color w:val="943634" w:themeColor="accent2" w:themeShade="BF"/>
        </w:rPr>
      </w:pPr>
      <w:r w:rsidRPr="000D1C03">
        <w:rPr>
          <w:rFonts w:asciiTheme="minorHAnsi" w:hAnsiTheme="minorHAnsi"/>
          <w:i/>
          <w:color w:val="943634" w:themeColor="accent2" w:themeShade="BF"/>
        </w:rPr>
        <w:t xml:space="preserve">E. </w:t>
      </w:r>
      <w:proofErr w:type="spellStart"/>
      <w:r w:rsidRPr="000D1C03">
        <w:rPr>
          <w:rFonts w:asciiTheme="minorHAnsi" w:hAnsiTheme="minorHAnsi"/>
          <w:i/>
          <w:color w:val="943634" w:themeColor="accent2" w:themeShade="BF"/>
        </w:rPr>
        <w:t>amylovora</w:t>
      </w:r>
      <w:proofErr w:type="spellEnd"/>
      <w:r w:rsidRPr="000D1C03">
        <w:rPr>
          <w:rFonts w:asciiTheme="minorHAnsi" w:hAnsiTheme="minorHAnsi"/>
          <w:i/>
          <w:color w:val="943634" w:themeColor="accent2" w:themeShade="BF"/>
        </w:rPr>
        <w:t xml:space="preserve"> perēkļus skaits un izvietojums 2007.gadā.</w:t>
      </w:r>
    </w:p>
    <w:p w:rsidR="001C5E8A" w:rsidRDefault="001C5E8A" w:rsidP="00EC1127">
      <w:pPr>
        <w:widowControl w:val="0"/>
        <w:spacing w:before="120"/>
        <w:jc w:val="both"/>
        <w:rPr>
          <w:rFonts w:asciiTheme="minorHAnsi" w:hAnsiTheme="minorHAnsi"/>
          <w:i/>
          <w:color w:val="943634" w:themeColor="accent2" w:themeShade="BF"/>
        </w:rPr>
      </w:pPr>
      <w:r w:rsidRPr="000D1C03">
        <w:rPr>
          <w:rFonts w:asciiTheme="minorHAnsi" w:hAnsiTheme="minorHAnsi"/>
          <w:i/>
          <w:noProof/>
          <w:color w:val="943634" w:themeColor="accent2" w:themeShade="BF"/>
        </w:rPr>
        <w:drawing>
          <wp:inline distT="0" distB="0" distL="0" distR="0" wp14:anchorId="2A2971A4" wp14:editId="12F97639">
            <wp:extent cx="3827145" cy="2533650"/>
            <wp:effectExtent l="0" t="0" r="1905" b="0"/>
            <wp:docPr id="161" name="Picture 161" descr="kAR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kARTE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27145" cy="2533650"/>
                    </a:xfrm>
                    <a:prstGeom prst="rect">
                      <a:avLst/>
                    </a:prstGeom>
                    <a:noFill/>
                    <a:ln>
                      <a:noFill/>
                    </a:ln>
                  </pic:spPr>
                </pic:pic>
              </a:graphicData>
            </a:graphic>
          </wp:inline>
        </w:drawing>
      </w:r>
    </w:p>
    <w:tbl>
      <w:tblPr>
        <w:tblStyle w:val="TableGrid"/>
        <w:tblW w:w="0" w:type="auto"/>
        <w:tblBorders>
          <w:top w:val="single" w:sz="4" w:space="0" w:color="31849B" w:themeColor="accent5" w:themeShade="BF"/>
          <w:left w:val="none" w:sz="0" w:space="0" w:color="auto"/>
          <w:bottom w:val="single" w:sz="4" w:space="0" w:color="31849B" w:themeColor="accent5" w:themeShade="BF"/>
          <w:right w:val="none" w:sz="0" w:space="0" w:color="auto"/>
          <w:insideH w:val="single" w:sz="4" w:space="0" w:color="31849B" w:themeColor="accent5" w:themeShade="BF"/>
          <w:insideV w:val="none" w:sz="0" w:space="0" w:color="auto"/>
        </w:tblBorders>
        <w:tblLook w:val="04A0" w:firstRow="1" w:lastRow="0" w:firstColumn="1" w:lastColumn="0" w:noHBand="0" w:noVBand="1"/>
      </w:tblPr>
      <w:tblGrid>
        <w:gridCol w:w="959"/>
        <w:gridCol w:w="2333"/>
        <w:gridCol w:w="2334"/>
        <w:gridCol w:w="3554"/>
      </w:tblGrid>
      <w:tr w:rsidR="001C5E8A" w:rsidRPr="00376E4F" w:rsidTr="001C5E8A">
        <w:tc>
          <w:tcPr>
            <w:tcW w:w="959" w:type="dxa"/>
          </w:tcPr>
          <w:p w:rsidR="001C5E8A" w:rsidRPr="00376E4F" w:rsidRDefault="001C5E8A" w:rsidP="000115A7">
            <w:pPr>
              <w:jc w:val="both"/>
              <w:rPr>
                <w:rFonts w:asciiTheme="minorHAnsi" w:hAnsiTheme="minorHAnsi"/>
                <w:b/>
                <w:sz w:val="20"/>
                <w:szCs w:val="20"/>
              </w:rPr>
            </w:pPr>
            <w:r w:rsidRPr="00376E4F">
              <w:rPr>
                <w:rFonts w:asciiTheme="minorHAnsi" w:hAnsiTheme="minorHAnsi"/>
                <w:b/>
                <w:sz w:val="20"/>
                <w:szCs w:val="20"/>
              </w:rPr>
              <w:t>Izcelsme</w:t>
            </w:r>
          </w:p>
        </w:tc>
        <w:tc>
          <w:tcPr>
            <w:tcW w:w="2333" w:type="dxa"/>
          </w:tcPr>
          <w:p w:rsidR="001C5E8A" w:rsidRPr="00376E4F" w:rsidRDefault="001C5E8A" w:rsidP="000115A7">
            <w:pPr>
              <w:jc w:val="both"/>
              <w:rPr>
                <w:rFonts w:asciiTheme="minorHAnsi" w:hAnsiTheme="minorHAnsi"/>
                <w:b/>
                <w:sz w:val="20"/>
                <w:szCs w:val="20"/>
              </w:rPr>
            </w:pPr>
            <w:r w:rsidRPr="00376E4F">
              <w:rPr>
                <w:rFonts w:asciiTheme="minorHAnsi" w:hAnsiTheme="minorHAnsi"/>
                <w:b/>
                <w:sz w:val="20"/>
                <w:szCs w:val="20"/>
              </w:rPr>
              <w:t>Pārbaužu skaits</w:t>
            </w:r>
          </w:p>
        </w:tc>
        <w:tc>
          <w:tcPr>
            <w:tcW w:w="2334" w:type="dxa"/>
          </w:tcPr>
          <w:p w:rsidR="001C5E8A" w:rsidRPr="00376E4F" w:rsidRDefault="001C5E8A" w:rsidP="000115A7">
            <w:pPr>
              <w:jc w:val="both"/>
              <w:rPr>
                <w:rFonts w:asciiTheme="minorHAnsi" w:hAnsiTheme="minorHAnsi"/>
                <w:b/>
                <w:sz w:val="20"/>
                <w:szCs w:val="20"/>
              </w:rPr>
            </w:pPr>
            <w:r w:rsidRPr="00376E4F">
              <w:rPr>
                <w:rFonts w:asciiTheme="minorHAnsi" w:hAnsiTheme="minorHAnsi"/>
                <w:b/>
                <w:sz w:val="20"/>
                <w:szCs w:val="20"/>
              </w:rPr>
              <w:t>Pārbaudītās vietas</w:t>
            </w:r>
          </w:p>
        </w:tc>
        <w:tc>
          <w:tcPr>
            <w:tcW w:w="3554" w:type="dxa"/>
          </w:tcPr>
          <w:p w:rsidR="001C5E8A" w:rsidRPr="00376E4F" w:rsidRDefault="001C5E8A" w:rsidP="001C5E8A">
            <w:pPr>
              <w:jc w:val="both"/>
              <w:rPr>
                <w:rFonts w:asciiTheme="minorHAnsi" w:hAnsiTheme="minorHAnsi"/>
                <w:b/>
                <w:sz w:val="20"/>
                <w:szCs w:val="20"/>
              </w:rPr>
            </w:pPr>
            <w:r w:rsidRPr="00376E4F">
              <w:rPr>
                <w:rFonts w:asciiTheme="minorHAnsi" w:hAnsiTheme="minorHAnsi"/>
                <w:b/>
                <w:sz w:val="20"/>
                <w:szCs w:val="20"/>
              </w:rPr>
              <w:t xml:space="preserve">Pārbaudīto 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saimniekaugu sugas</w:t>
            </w:r>
          </w:p>
        </w:tc>
      </w:tr>
      <w:tr w:rsidR="001C5E8A" w:rsidRPr="00376E4F" w:rsidTr="001C5E8A">
        <w:tc>
          <w:tcPr>
            <w:tcW w:w="959"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vietējā</w:t>
            </w:r>
          </w:p>
        </w:tc>
        <w:tc>
          <w:tcPr>
            <w:tcW w:w="2333"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18</w:t>
            </w:r>
          </w:p>
        </w:tc>
        <w:tc>
          <w:tcPr>
            <w:tcW w:w="2334"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8</w:t>
            </w:r>
          </w:p>
        </w:tc>
        <w:tc>
          <w:tcPr>
            <w:tcW w:w="3554" w:type="dxa"/>
          </w:tcPr>
          <w:p w:rsidR="001C5E8A" w:rsidRPr="00376E4F" w:rsidRDefault="001C5E8A" w:rsidP="000115A7">
            <w:pPr>
              <w:jc w:val="both"/>
              <w:rPr>
                <w:rFonts w:asciiTheme="minorHAnsi" w:hAnsiTheme="minorHAnsi"/>
                <w:i/>
                <w:sz w:val="20"/>
                <w:szCs w:val="20"/>
              </w:rPr>
            </w:pPr>
            <w:proofErr w:type="spellStart"/>
            <w:r w:rsidRPr="00376E4F">
              <w:rPr>
                <w:rFonts w:asciiTheme="minorHAnsi" w:hAnsiTheme="minorHAnsi"/>
                <w:i/>
                <w:sz w:val="20"/>
                <w:szCs w:val="20"/>
              </w:rPr>
              <w:t>Malus</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Sorbus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Cotoneaster</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Amelanchier</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Crataegus</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w:t>
            </w:r>
          </w:p>
        </w:tc>
      </w:tr>
      <w:tr w:rsidR="001C5E8A" w:rsidRPr="00376E4F" w:rsidTr="001C5E8A">
        <w:tc>
          <w:tcPr>
            <w:tcW w:w="959"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ES</w:t>
            </w:r>
          </w:p>
        </w:tc>
        <w:tc>
          <w:tcPr>
            <w:tcW w:w="2333"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13</w:t>
            </w:r>
          </w:p>
        </w:tc>
        <w:tc>
          <w:tcPr>
            <w:tcW w:w="2334" w:type="dxa"/>
          </w:tcPr>
          <w:p w:rsidR="001C5E8A" w:rsidRPr="00376E4F" w:rsidRDefault="001C5E8A" w:rsidP="000115A7">
            <w:pPr>
              <w:jc w:val="both"/>
              <w:rPr>
                <w:rFonts w:asciiTheme="minorHAnsi" w:hAnsiTheme="minorHAnsi"/>
                <w:sz w:val="20"/>
                <w:szCs w:val="20"/>
              </w:rPr>
            </w:pPr>
            <w:r w:rsidRPr="00376E4F">
              <w:rPr>
                <w:rFonts w:asciiTheme="minorHAnsi" w:hAnsiTheme="minorHAnsi"/>
                <w:sz w:val="20"/>
                <w:szCs w:val="20"/>
              </w:rPr>
              <w:t>8</w:t>
            </w:r>
          </w:p>
        </w:tc>
        <w:tc>
          <w:tcPr>
            <w:tcW w:w="3554" w:type="dxa"/>
          </w:tcPr>
          <w:p w:rsidR="001C5E8A" w:rsidRPr="00376E4F" w:rsidRDefault="001C5E8A" w:rsidP="000115A7">
            <w:pPr>
              <w:jc w:val="both"/>
              <w:rPr>
                <w:rFonts w:asciiTheme="minorHAnsi" w:hAnsiTheme="minorHAnsi"/>
                <w:i/>
                <w:sz w:val="20"/>
                <w:szCs w:val="20"/>
              </w:rPr>
            </w:pPr>
            <w:proofErr w:type="spellStart"/>
            <w:r w:rsidRPr="00376E4F">
              <w:rPr>
                <w:rFonts w:asciiTheme="minorHAnsi" w:hAnsiTheme="minorHAnsi"/>
                <w:i/>
                <w:sz w:val="20"/>
                <w:szCs w:val="20"/>
              </w:rPr>
              <w:t>Malus</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Sorbus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Cotoneaster</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Amelanchier</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Crataegus</w:t>
            </w:r>
            <w:proofErr w:type="spellEnd"/>
            <w:r w:rsidRPr="00376E4F">
              <w:rPr>
                <w:rFonts w:asciiTheme="minorHAnsi" w:hAnsiTheme="minorHAnsi"/>
                <w:i/>
                <w:sz w:val="20"/>
                <w:szCs w:val="20"/>
              </w:rPr>
              <w:t xml:space="preserve"> </w:t>
            </w:r>
            <w:proofErr w:type="spellStart"/>
            <w:r w:rsidRPr="00376E4F">
              <w:rPr>
                <w:rFonts w:asciiTheme="minorHAnsi" w:hAnsiTheme="minorHAnsi"/>
                <w:i/>
                <w:sz w:val="20"/>
                <w:szCs w:val="20"/>
              </w:rPr>
              <w:t>spp</w:t>
            </w:r>
            <w:proofErr w:type="spellEnd"/>
            <w:r w:rsidRPr="00376E4F">
              <w:rPr>
                <w:rFonts w:asciiTheme="minorHAnsi" w:hAnsiTheme="minorHAnsi"/>
                <w:i/>
                <w:sz w:val="20"/>
                <w:szCs w:val="20"/>
              </w:rPr>
              <w:t>.</w:t>
            </w:r>
          </w:p>
        </w:tc>
      </w:tr>
    </w:tbl>
    <w:p w:rsidR="000115A7" w:rsidRPr="000115A7" w:rsidRDefault="000115A7" w:rsidP="000115A7">
      <w:pPr>
        <w:widowControl w:val="0"/>
        <w:spacing w:before="120"/>
        <w:jc w:val="both"/>
        <w:rPr>
          <w:rFonts w:asciiTheme="minorHAnsi" w:hAnsiTheme="minorHAnsi"/>
        </w:rPr>
      </w:pPr>
      <w:r w:rsidRPr="000115A7">
        <w:rPr>
          <w:rFonts w:asciiTheme="minorHAnsi" w:hAnsiTheme="minorHAnsi"/>
        </w:rPr>
        <w:t xml:space="preserve">Lai izskaustu šo baktēriju ierosināto slimību, </w:t>
      </w:r>
      <w:r w:rsidR="00DB586F">
        <w:rPr>
          <w:rFonts w:asciiTheme="minorHAnsi" w:hAnsiTheme="minorHAnsi"/>
        </w:rPr>
        <w:t>VAAD</w:t>
      </w:r>
      <w:r w:rsidRPr="000115A7">
        <w:rPr>
          <w:rFonts w:asciiTheme="minorHAnsi" w:hAnsiTheme="minorHAnsi"/>
        </w:rPr>
        <w:t xml:space="preserve"> piemēroja stingrus fitosanitāros pasākumus. Pateicoties ātrajai rīcībai slimības konstatēšanas gadā, intensīvām pārbaudēm un stingrajiem piemērotajiem fitosanitārajiem pasākumiem nākamajos gados, tagad konstatēto jauno perēkļu skaits ir krietni samazinājies. Var uzskatīt, ka pieņemtie fitosanitārie lēmumi ir efektīvi un bakteriālo iedegu izplatība Latvijas teritorijā ir ierobežota.</w:t>
      </w:r>
    </w:p>
    <w:p w:rsidR="000115A7" w:rsidRPr="000115A7" w:rsidRDefault="00492254" w:rsidP="000115A7">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Pārbaudes tirdzniecības vietās</w:t>
      </w:r>
    </w:p>
    <w:p w:rsidR="000115A7" w:rsidRDefault="000115A7" w:rsidP="00CF1418">
      <w:pPr>
        <w:widowControl w:val="0"/>
        <w:spacing w:before="120"/>
        <w:jc w:val="both"/>
      </w:pPr>
      <w:r w:rsidRPr="000115A7">
        <w:rPr>
          <w:rFonts w:asciiTheme="minorHAnsi" w:hAnsiTheme="minorHAnsi"/>
        </w:rPr>
        <w:t xml:space="preserve">Tirdzniecības vietas tiek pārbaudītas veģetācijas periodā, kad var redzēt E. </w:t>
      </w:r>
      <w:proofErr w:type="spellStart"/>
      <w:r w:rsidRPr="000115A7">
        <w:rPr>
          <w:rFonts w:asciiTheme="minorHAnsi" w:hAnsiTheme="minorHAnsi"/>
        </w:rPr>
        <w:t>amylovora</w:t>
      </w:r>
      <w:proofErr w:type="spellEnd"/>
      <w:r w:rsidRPr="000115A7">
        <w:rPr>
          <w:rFonts w:asciiTheme="minorHAnsi" w:hAnsiTheme="minorHAnsi"/>
        </w:rPr>
        <w:t xml:space="preserve"> raksturīgos simptomus. Šajās pārbaudēs veic ne tikai vizuālo pazīmju pārbaudi saimniekaugu stādāmajam materiālam, bet arī augu pasu pārbaudi. Pārbaudīta gan vietējā, gan no citām Eiropas Savienības dalībvalstīm ievestā produkcija. Slimības pazīmes netika konstatētas, bet 8 gadījumos konstatēta augu pasu neatbilstība, jo stādi nebija paredzēti tirdzniecībai aizsargājamā zonā. Stādāmais materiāls, kopā 142 saimniekaugi ar neatbilstošajām augu pasēm tika iznīcināti. </w:t>
      </w:r>
    </w:p>
    <w:bookmarkEnd w:id="11"/>
    <w:p w:rsidR="000115A7" w:rsidRPr="000115A7" w:rsidRDefault="002838F2" w:rsidP="000115A7">
      <w:pPr>
        <w:shd w:val="clear" w:color="auto" w:fill="DAEEF3" w:themeFill="accent5" w:themeFillTint="33"/>
        <w:jc w:val="both"/>
        <w:rPr>
          <w:rFonts w:asciiTheme="minorHAnsi" w:hAnsiTheme="minorHAnsi"/>
        </w:rPr>
      </w:pPr>
      <w:r w:rsidRPr="000115A7">
        <w:rPr>
          <w:rFonts w:asciiTheme="minorHAnsi" w:hAnsiTheme="minorHAnsi"/>
        </w:rPr>
        <w:t>Tirdzniecības vietu pārbaužu rezultāti</w:t>
      </w:r>
    </w:p>
    <w:tbl>
      <w:tblPr>
        <w:tblW w:w="8329" w:type="dxa"/>
        <w:jc w:val="center"/>
        <w:tblInd w:w="568"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133"/>
        <w:gridCol w:w="1363"/>
        <w:gridCol w:w="1470"/>
        <w:gridCol w:w="4363"/>
      </w:tblGrid>
      <w:tr w:rsidR="00671DF0" w:rsidRPr="00376E4F" w:rsidTr="00671DF0">
        <w:trPr>
          <w:jc w:val="center"/>
        </w:trPr>
        <w:tc>
          <w:tcPr>
            <w:tcW w:w="1133" w:type="dxa"/>
            <w:shd w:val="clear" w:color="auto" w:fill="auto"/>
          </w:tcPr>
          <w:p w:rsidR="00671DF0" w:rsidRPr="00376E4F" w:rsidRDefault="00671DF0" w:rsidP="00671DF0">
            <w:pPr>
              <w:widowControl w:val="0"/>
              <w:spacing w:line="285" w:lineRule="auto"/>
              <w:jc w:val="center"/>
              <w:rPr>
                <w:rFonts w:asciiTheme="minorHAnsi" w:hAnsiTheme="minorHAnsi"/>
                <w:b/>
                <w:sz w:val="20"/>
                <w:szCs w:val="20"/>
              </w:rPr>
            </w:pPr>
            <w:r w:rsidRPr="00376E4F">
              <w:rPr>
                <w:rFonts w:asciiTheme="minorHAnsi" w:hAnsiTheme="minorHAnsi"/>
                <w:b/>
                <w:sz w:val="20"/>
                <w:szCs w:val="20"/>
              </w:rPr>
              <w:t>Izcelsme</w:t>
            </w:r>
          </w:p>
        </w:tc>
        <w:tc>
          <w:tcPr>
            <w:tcW w:w="1363" w:type="dxa"/>
            <w:shd w:val="clear" w:color="auto" w:fill="auto"/>
          </w:tcPr>
          <w:p w:rsidR="00671DF0" w:rsidRPr="00376E4F" w:rsidRDefault="00671DF0" w:rsidP="00671DF0">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Pārbaužu skaits</w:t>
            </w:r>
          </w:p>
        </w:tc>
        <w:tc>
          <w:tcPr>
            <w:tcW w:w="1470" w:type="dxa"/>
            <w:shd w:val="clear" w:color="auto" w:fill="auto"/>
          </w:tcPr>
          <w:p w:rsidR="00671DF0" w:rsidRPr="00376E4F" w:rsidRDefault="00671DF0" w:rsidP="00671DF0">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Pārbaudītās vietas </w:t>
            </w:r>
          </w:p>
        </w:tc>
        <w:tc>
          <w:tcPr>
            <w:tcW w:w="4363" w:type="dxa"/>
            <w:shd w:val="clear" w:color="auto" w:fill="auto"/>
          </w:tcPr>
          <w:p w:rsidR="00671DF0" w:rsidRPr="00376E4F" w:rsidRDefault="00671DF0" w:rsidP="00671DF0">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Pārbaudīto 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saimniekaugu sugas </w:t>
            </w:r>
          </w:p>
        </w:tc>
      </w:tr>
      <w:tr w:rsidR="00671DF0" w:rsidRPr="00376E4F" w:rsidTr="00671DF0">
        <w:trPr>
          <w:jc w:val="center"/>
        </w:trPr>
        <w:tc>
          <w:tcPr>
            <w:tcW w:w="113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vietējā</w:t>
            </w:r>
          </w:p>
        </w:tc>
        <w:tc>
          <w:tcPr>
            <w:tcW w:w="136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18</w:t>
            </w:r>
          </w:p>
        </w:tc>
        <w:tc>
          <w:tcPr>
            <w:tcW w:w="1470"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436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proofErr w:type="spellStart"/>
            <w:r w:rsidRPr="00376E4F">
              <w:rPr>
                <w:rFonts w:asciiTheme="minorHAnsi" w:hAnsiTheme="minorHAnsi"/>
                <w:sz w:val="20"/>
                <w:szCs w:val="20"/>
              </w:rPr>
              <w:t>Malus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Sorbus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Cotoneaster</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Amelanchier</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Crataegus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w:t>
            </w:r>
          </w:p>
        </w:tc>
      </w:tr>
      <w:tr w:rsidR="00671DF0" w:rsidRPr="00376E4F" w:rsidTr="00671DF0">
        <w:trPr>
          <w:jc w:val="center"/>
        </w:trPr>
        <w:tc>
          <w:tcPr>
            <w:tcW w:w="113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ES</w:t>
            </w:r>
          </w:p>
        </w:tc>
        <w:tc>
          <w:tcPr>
            <w:tcW w:w="136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13</w:t>
            </w:r>
          </w:p>
        </w:tc>
        <w:tc>
          <w:tcPr>
            <w:tcW w:w="1470"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4363" w:type="dxa"/>
            <w:shd w:val="clear" w:color="auto" w:fill="auto"/>
          </w:tcPr>
          <w:p w:rsidR="00671DF0" w:rsidRPr="00376E4F" w:rsidRDefault="00671DF0" w:rsidP="00671DF0">
            <w:pPr>
              <w:widowControl w:val="0"/>
              <w:spacing w:line="285" w:lineRule="auto"/>
              <w:jc w:val="center"/>
              <w:rPr>
                <w:rFonts w:asciiTheme="minorHAnsi" w:hAnsiTheme="minorHAnsi"/>
                <w:sz w:val="20"/>
                <w:szCs w:val="20"/>
              </w:rPr>
            </w:pPr>
            <w:proofErr w:type="spellStart"/>
            <w:r w:rsidRPr="00376E4F">
              <w:rPr>
                <w:rFonts w:asciiTheme="minorHAnsi" w:hAnsiTheme="minorHAnsi"/>
                <w:sz w:val="20"/>
                <w:szCs w:val="20"/>
              </w:rPr>
              <w:t>Malus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Sorbus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Cotoneaster</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Amelanchier</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Crataegus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spp</w:t>
            </w:r>
            <w:proofErr w:type="spellEnd"/>
            <w:r w:rsidRPr="00376E4F">
              <w:rPr>
                <w:rFonts w:asciiTheme="minorHAnsi" w:hAnsiTheme="minorHAnsi"/>
                <w:sz w:val="20"/>
                <w:szCs w:val="20"/>
              </w:rPr>
              <w:t>.</w:t>
            </w:r>
          </w:p>
        </w:tc>
      </w:tr>
    </w:tbl>
    <w:p w:rsidR="002838F2" w:rsidRPr="000115A7" w:rsidRDefault="002838F2" w:rsidP="00CF1418">
      <w:pPr>
        <w:shd w:val="clear" w:color="auto" w:fill="EAF1DD" w:themeFill="accent3" w:themeFillTint="33"/>
        <w:rPr>
          <w:rFonts w:asciiTheme="minorHAnsi" w:hAnsiTheme="minorHAnsi"/>
          <w:sz w:val="28"/>
        </w:rPr>
      </w:pPr>
      <w:r w:rsidRPr="000115A7">
        <w:rPr>
          <w:rFonts w:asciiTheme="minorHAnsi" w:hAnsiTheme="minorHAnsi"/>
          <w:sz w:val="28"/>
        </w:rPr>
        <w:lastRenderedPageBreak/>
        <w:t>Pārbaudes stādaud</w:t>
      </w:r>
      <w:r w:rsidR="000115A7">
        <w:rPr>
          <w:rFonts w:asciiTheme="minorHAnsi" w:hAnsiTheme="minorHAnsi"/>
          <w:sz w:val="28"/>
        </w:rPr>
        <w:t>zētavās un to tuvākajā apkārtnē</w:t>
      </w:r>
    </w:p>
    <w:p w:rsidR="000115A7" w:rsidRPr="000115A7" w:rsidRDefault="000115A7" w:rsidP="000115A7">
      <w:pPr>
        <w:widowControl w:val="0"/>
        <w:spacing w:before="120"/>
        <w:jc w:val="both"/>
        <w:rPr>
          <w:rFonts w:asciiTheme="minorHAnsi" w:hAnsiTheme="minorHAnsi"/>
        </w:rPr>
      </w:pPr>
      <w:r w:rsidRPr="000115A7">
        <w:rPr>
          <w:rFonts w:asciiTheme="minorHAnsi" w:hAnsiTheme="minorHAnsi"/>
        </w:rPr>
        <w:t>Ja nepieciešamas augu pases, atbilstības novērtēšanas pārbaudes veic divas reizes sezonā – veģetācijas periodā un pirms stādu izplatīšanas. Paraugi tiek ņemti arī no nesimptomātiskiem bakteriālo iedegu saimniekaugiem, lai noteiktu slimības latento jeb slēpto formu.</w:t>
      </w:r>
    </w:p>
    <w:p w:rsidR="000115A7" w:rsidRPr="000115A7" w:rsidRDefault="000115A7" w:rsidP="000115A7">
      <w:pPr>
        <w:widowControl w:val="0"/>
        <w:spacing w:before="120"/>
        <w:jc w:val="both"/>
        <w:rPr>
          <w:rFonts w:asciiTheme="minorHAnsi" w:hAnsiTheme="minorHAnsi"/>
        </w:rPr>
      </w:pPr>
      <w:r w:rsidRPr="000115A7">
        <w:rPr>
          <w:rFonts w:asciiTheme="minorHAnsi" w:hAnsiTheme="minorHAnsi"/>
        </w:rPr>
        <w:t>Ja augu pases nav nepieciešamas, pārbaudi veic tikai vienu reizi veģetācijas periodā - vispārējā fitosanitārā stāvokļa noteikšanai.</w:t>
      </w:r>
    </w:p>
    <w:p w:rsidR="000115A7" w:rsidRDefault="000115A7" w:rsidP="000115A7">
      <w:pPr>
        <w:widowControl w:val="0"/>
        <w:spacing w:before="120"/>
        <w:jc w:val="both"/>
        <w:rPr>
          <w:rFonts w:asciiTheme="minorHAnsi" w:hAnsiTheme="minorHAnsi"/>
        </w:rPr>
      </w:pPr>
      <w:proofErr w:type="spellStart"/>
      <w:r w:rsidRPr="000115A7">
        <w:rPr>
          <w:rFonts w:asciiTheme="minorHAnsi" w:hAnsiTheme="minorHAnsi"/>
        </w:rPr>
        <w:t>Stadaudzētavās</w:t>
      </w:r>
      <w:proofErr w:type="spellEnd"/>
      <w:r w:rsidRPr="000115A7">
        <w:rPr>
          <w:rFonts w:asciiTheme="minorHAnsi" w:hAnsiTheme="minorHAnsi"/>
        </w:rPr>
        <w:t xml:space="preserve"> veikta 181 pārbaude, pārbaudītas 146 stādu audzēšanas vietas un noņemti 354 paraugi, bet slimība netika konstatēta.</w:t>
      </w:r>
    </w:p>
    <w:p w:rsidR="000115A7" w:rsidRPr="000115A7" w:rsidRDefault="000115A7" w:rsidP="000115A7">
      <w:pPr>
        <w:widowControl w:val="0"/>
        <w:spacing w:before="120"/>
        <w:jc w:val="both"/>
        <w:rPr>
          <w:rFonts w:asciiTheme="minorHAnsi" w:hAnsiTheme="minorHAnsi"/>
        </w:rPr>
      </w:pPr>
    </w:p>
    <w:p w:rsidR="002838F2" w:rsidRDefault="002838F2" w:rsidP="000115A7">
      <w:pPr>
        <w:shd w:val="clear" w:color="auto" w:fill="DAEEF3" w:themeFill="accent5" w:themeFillTint="33"/>
        <w:jc w:val="both"/>
        <w:rPr>
          <w:rFonts w:asciiTheme="minorHAnsi" w:hAnsiTheme="minorHAnsi"/>
        </w:rPr>
      </w:pPr>
      <w:r w:rsidRPr="000115A7">
        <w:rPr>
          <w:rFonts w:asciiTheme="minorHAnsi" w:hAnsiTheme="minorHAnsi"/>
        </w:rPr>
        <w:t>Stādaudzētavu pārbaužu rezultāti</w:t>
      </w:r>
    </w:p>
    <w:p w:rsidR="000115A7" w:rsidRPr="004E6BD8" w:rsidRDefault="000115A7" w:rsidP="000115A7">
      <w:pPr>
        <w:shd w:val="clear" w:color="auto" w:fill="FFFFFF" w:themeFill="background1"/>
        <w:jc w:val="both"/>
        <w:rPr>
          <w:rFonts w:asciiTheme="minorHAnsi" w:hAnsiTheme="minorHAnsi"/>
        </w:rPr>
      </w:pPr>
    </w:p>
    <w:tbl>
      <w:tblPr>
        <w:tblW w:w="5000" w:type="pct"/>
        <w:jc w:val="center"/>
        <w:tblBorders>
          <w:top w:val="single" w:sz="4" w:space="0" w:color="31849B" w:themeColor="accent5" w:themeShade="BF"/>
          <w:bottom w:val="single" w:sz="4" w:space="0" w:color="31849B" w:themeColor="accent5" w:themeShade="BF"/>
          <w:insideH w:val="single" w:sz="4" w:space="0" w:color="31849B" w:themeColor="accent5" w:themeShade="BF"/>
        </w:tblBorders>
        <w:tblLook w:val="01E0" w:firstRow="1" w:lastRow="1" w:firstColumn="1" w:lastColumn="1" w:noHBand="0" w:noVBand="0"/>
      </w:tblPr>
      <w:tblGrid>
        <w:gridCol w:w="1490"/>
        <w:gridCol w:w="1800"/>
        <w:gridCol w:w="2145"/>
        <w:gridCol w:w="1915"/>
        <w:gridCol w:w="1984"/>
      </w:tblGrid>
      <w:tr w:rsidR="002838F2" w:rsidRPr="00376E4F" w:rsidTr="000115A7">
        <w:trPr>
          <w:jc w:val="center"/>
        </w:trPr>
        <w:tc>
          <w:tcPr>
            <w:tcW w:w="798" w:type="pct"/>
            <w:shd w:val="clear" w:color="auto" w:fill="auto"/>
          </w:tcPr>
          <w:p w:rsidR="002838F2" w:rsidRPr="00376E4F" w:rsidRDefault="002838F2" w:rsidP="000115A7">
            <w:pPr>
              <w:widowControl w:val="0"/>
              <w:spacing w:line="285" w:lineRule="auto"/>
              <w:rPr>
                <w:rFonts w:asciiTheme="minorHAnsi" w:hAnsiTheme="minorHAnsi"/>
                <w:b/>
                <w:sz w:val="20"/>
                <w:szCs w:val="20"/>
              </w:rPr>
            </w:pPr>
            <w:r w:rsidRPr="00376E4F">
              <w:rPr>
                <w:rFonts w:asciiTheme="minorHAnsi" w:hAnsiTheme="minorHAnsi"/>
                <w:b/>
                <w:sz w:val="20"/>
                <w:szCs w:val="20"/>
              </w:rPr>
              <w:t>Reģions</w:t>
            </w:r>
          </w:p>
        </w:tc>
        <w:tc>
          <w:tcPr>
            <w:tcW w:w="964" w:type="pct"/>
            <w:shd w:val="clear" w:color="auto" w:fill="auto"/>
          </w:tcPr>
          <w:p w:rsidR="002838F2" w:rsidRPr="00376E4F" w:rsidRDefault="002838F2" w:rsidP="000115A7">
            <w:pPr>
              <w:widowControl w:val="0"/>
              <w:spacing w:line="285" w:lineRule="auto"/>
              <w:rPr>
                <w:rFonts w:asciiTheme="minorHAnsi" w:hAnsiTheme="minorHAnsi"/>
                <w:b/>
                <w:sz w:val="20"/>
                <w:szCs w:val="20"/>
              </w:rPr>
            </w:pPr>
            <w:r w:rsidRPr="00376E4F">
              <w:rPr>
                <w:rFonts w:asciiTheme="minorHAnsi" w:hAnsiTheme="minorHAnsi"/>
                <w:b/>
                <w:sz w:val="20"/>
                <w:szCs w:val="20"/>
              </w:rPr>
              <w:t>Pārbaužu skaits</w:t>
            </w:r>
          </w:p>
        </w:tc>
        <w:tc>
          <w:tcPr>
            <w:tcW w:w="1149" w:type="pct"/>
            <w:shd w:val="clear" w:color="auto" w:fill="auto"/>
          </w:tcPr>
          <w:p w:rsidR="002838F2" w:rsidRPr="00376E4F" w:rsidRDefault="002838F2" w:rsidP="000115A7">
            <w:pPr>
              <w:widowControl w:val="0"/>
              <w:spacing w:line="285" w:lineRule="auto"/>
              <w:rPr>
                <w:rFonts w:asciiTheme="minorHAnsi" w:hAnsiTheme="minorHAnsi"/>
                <w:b/>
                <w:sz w:val="20"/>
                <w:szCs w:val="20"/>
              </w:rPr>
            </w:pPr>
            <w:r w:rsidRPr="00376E4F">
              <w:rPr>
                <w:rFonts w:asciiTheme="minorHAnsi" w:hAnsiTheme="minorHAnsi"/>
                <w:b/>
                <w:sz w:val="20"/>
                <w:szCs w:val="20"/>
              </w:rPr>
              <w:t>Pārbaudīto vietu skaits</w:t>
            </w:r>
          </w:p>
        </w:tc>
        <w:tc>
          <w:tcPr>
            <w:tcW w:w="1026" w:type="pct"/>
            <w:shd w:val="clear" w:color="auto" w:fill="auto"/>
          </w:tcPr>
          <w:p w:rsidR="002838F2" w:rsidRPr="00376E4F" w:rsidRDefault="002838F2" w:rsidP="000115A7">
            <w:pPr>
              <w:widowControl w:val="0"/>
              <w:spacing w:line="285" w:lineRule="auto"/>
              <w:rPr>
                <w:rFonts w:asciiTheme="minorHAnsi" w:hAnsiTheme="minorHAnsi"/>
                <w:b/>
                <w:sz w:val="20"/>
                <w:szCs w:val="20"/>
              </w:rPr>
            </w:pPr>
            <w:r w:rsidRPr="00376E4F">
              <w:rPr>
                <w:rFonts w:asciiTheme="minorHAnsi" w:hAnsiTheme="minorHAnsi"/>
                <w:b/>
                <w:sz w:val="20"/>
                <w:szCs w:val="20"/>
              </w:rPr>
              <w:t>Noņemto paraugu skaits</w:t>
            </w:r>
          </w:p>
        </w:tc>
        <w:tc>
          <w:tcPr>
            <w:tcW w:w="1064" w:type="pct"/>
            <w:shd w:val="clear" w:color="auto" w:fill="auto"/>
          </w:tcPr>
          <w:p w:rsidR="002838F2" w:rsidRPr="00376E4F" w:rsidRDefault="002838F2" w:rsidP="000115A7">
            <w:pPr>
              <w:widowControl w:val="0"/>
              <w:spacing w:line="285" w:lineRule="auto"/>
              <w:rPr>
                <w:rFonts w:asciiTheme="minorHAnsi" w:hAnsiTheme="minorHAnsi"/>
                <w:b/>
                <w:sz w:val="20"/>
                <w:szCs w:val="20"/>
              </w:rPr>
            </w:pPr>
            <w:r w:rsidRPr="00376E4F">
              <w:rPr>
                <w:rFonts w:asciiTheme="minorHAnsi" w:hAnsiTheme="minorHAnsi"/>
                <w:b/>
                <w:sz w:val="20"/>
                <w:szCs w:val="20"/>
              </w:rPr>
              <w:t xml:space="preserve">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sz w:val="20"/>
                <w:szCs w:val="20"/>
              </w:rPr>
            </w:pPr>
            <w:r w:rsidRPr="00376E4F">
              <w:rPr>
                <w:rFonts w:asciiTheme="minorHAnsi" w:hAnsiTheme="minorHAnsi"/>
                <w:sz w:val="20"/>
                <w:szCs w:val="20"/>
              </w:rPr>
              <w:t>Kurzeme</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19</w:t>
            </w:r>
          </w:p>
        </w:tc>
        <w:tc>
          <w:tcPr>
            <w:tcW w:w="1149"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16</w:t>
            </w:r>
          </w:p>
        </w:tc>
        <w:tc>
          <w:tcPr>
            <w:tcW w:w="1026"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41</w:t>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sz w:val="20"/>
                <w:szCs w:val="20"/>
              </w:rPr>
            </w:pPr>
            <w:r w:rsidRPr="00376E4F">
              <w:rPr>
                <w:rFonts w:asciiTheme="minorHAnsi" w:hAnsiTheme="minorHAnsi"/>
                <w:sz w:val="20"/>
                <w:szCs w:val="20"/>
              </w:rPr>
              <w:t>Latgale</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17</w:t>
            </w:r>
          </w:p>
        </w:tc>
        <w:tc>
          <w:tcPr>
            <w:tcW w:w="1149"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10</w:t>
            </w:r>
          </w:p>
        </w:tc>
        <w:tc>
          <w:tcPr>
            <w:tcW w:w="1026"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34</w:t>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sz w:val="20"/>
                <w:szCs w:val="20"/>
              </w:rPr>
            </w:pPr>
            <w:r w:rsidRPr="00376E4F">
              <w:rPr>
                <w:rFonts w:asciiTheme="minorHAnsi" w:hAnsiTheme="minorHAnsi"/>
                <w:sz w:val="20"/>
                <w:szCs w:val="20"/>
              </w:rPr>
              <w:t>Rīga</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54</w:t>
            </w:r>
          </w:p>
        </w:tc>
        <w:tc>
          <w:tcPr>
            <w:tcW w:w="1149"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27</w:t>
            </w:r>
          </w:p>
        </w:tc>
        <w:tc>
          <w:tcPr>
            <w:tcW w:w="1026"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144</w:t>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sz w:val="20"/>
                <w:szCs w:val="20"/>
              </w:rPr>
            </w:pPr>
            <w:r w:rsidRPr="00376E4F">
              <w:rPr>
                <w:rFonts w:asciiTheme="minorHAnsi" w:hAnsiTheme="minorHAnsi"/>
                <w:sz w:val="20"/>
                <w:szCs w:val="20"/>
              </w:rPr>
              <w:t>V</w:t>
            </w:r>
            <w:smartTag w:uri="urn:schemas-microsoft-com:office:smarttags" w:element="PersonName">
              <w:r w:rsidRPr="00376E4F">
                <w:rPr>
                  <w:rFonts w:asciiTheme="minorHAnsi" w:hAnsiTheme="minorHAnsi"/>
                  <w:sz w:val="20"/>
                  <w:szCs w:val="20"/>
                </w:rPr>
                <w:t>id</w:t>
              </w:r>
            </w:smartTag>
            <w:r w:rsidRPr="00376E4F">
              <w:rPr>
                <w:rFonts w:asciiTheme="minorHAnsi" w:hAnsiTheme="minorHAnsi"/>
                <w:sz w:val="20"/>
                <w:szCs w:val="20"/>
              </w:rPr>
              <w:t>zeme</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24</w:t>
            </w:r>
          </w:p>
        </w:tc>
        <w:tc>
          <w:tcPr>
            <w:tcW w:w="1149"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15</w:t>
            </w:r>
          </w:p>
        </w:tc>
        <w:tc>
          <w:tcPr>
            <w:tcW w:w="1026"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60</w:t>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sz w:val="20"/>
                <w:szCs w:val="20"/>
              </w:rPr>
            </w:pPr>
            <w:r w:rsidRPr="00376E4F">
              <w:rPr>
                <w:rFonts w:asciiTheme="minorHAnsi" w:hAnsiTheme="minorHAnsi"/>
                <w:sz w:val="20"/>
                <w:szCs w:val="20"/>
              </w:rPr>
              <w:t>Zemgale</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52</w:t>
            </w:r>
          </w:p>
        </w:tc>
        <w:tc>
          <w:tcPr>
            <w:tcW w:w="1149"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27</w:t>
            </w:r>
          </w:p>
        </w:tc>
        <w:tc>
          <w:tcPr>
            <w:tcW w:w="1026" w:type="pct"/>
            <w:shd w:val="clear" w:color="auto" w:fill="auto"/>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79</w:t>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0115A7" w:rsidRPr="00376E4F" w:rsidTr="000115A7">
        <w:trPr>
          <w:jc w:val="center"/>
        </w:trPr>
        <w:tc>
          <w:tcPr>
            <w:tcW w:w="798" w:type="pct"/>
            <w:shd w:val="clear" w:color="auto" w:fill="auto"/>
          </w:tcPr>
          <w:p w:rsidR="000115A7" w:rsidRPr="00376E4F" w:rsidRDefault="000115A7" w:rsidP="000115A7">
            <w:pPr>
              <w:widowControl w:val="0"/>
              <w:spacing w:line="285" w:lineRule="auto"/>
              <w:rPr>
                <w:rFonts w:asciiTheme="minorHAnsi" w:hAnsiTheme="minorHAnsi"/>
                <w:b/>
                <w:sz w:val="20"/>
                <w:szCs w:val="20"/>
              </w:rPr>
            </w:pPr>
            <w:r w:rsidRPr="00376E4F">
              <w:rPr>
                <w:rFonts w:asciiTheme="minorHAnsi" w:hAnsiTheme="minorHAnsi"/>
                <w:b/>
                <w:sz w:val="20"/>
                <w:szCs w:val="20"/>
              </w:rPr>
              <w:t>Kopā:</w:t>
            </w:r>
          </w:p>
        </w:tc>
        <w:tc>
          <w:tcPr>
            <w:tcW w:w="964" w:type="pct"/>
            <w:shd w:val="clear" w:color="auto" w:fill="auto"/>
          </w:tcPr>
          <w:p w:rsidR="000115A7" w:rsidRPr="00376E4F" w:rsidRDefault="000115A7" w:rsidP="000115A7">
            <w:pPr>
              <w:widowControl w:val="0"/>
              <w:spacing w:line="285" w:lineRule="auto"/>
              <w:jc w:val="center"/>
              <w:rPr>
                <w:rFonts w:asciiTheme="minorHAnsi" w:hAnsiTheme="minorHAnsi"/>
                <w:b/>
                <w:sz w:val="20"/>
                <w:szCs w:val="20"/>
              </w:rPr>
            </w:pPr>
            <w:r w:rsidRPr="00376E4F">
              <w:rPr>
                <w:rFonts w:asciiTheme="minorHAnsi" w:hAnsiTheme="minorHAnsi"/>
                <w:b/>
                <w:sz w:val="20"/>
                <w:szCs w:val="20"/>
              </w:rPr>
              <w:t>166</w:t>
            </w:r>
          </w:p>
        </w:tc>
        <w:tc>
          <w:tcPr>
            <w:tcW w:w="1149" w:type="pct"/>
            <w:shd w:val="clear" w:color="auto" w:fill="auto"/>
            <w:vAlign w:val="center"/>
          </w:tcPr>
          <w:p w:rsidR="000115A7" w:rsidRPr="00376E4F" w:rsidRDefault="003D2E84" w:rsidP="000115A7">
            <w:pPr>
              <w:widowControl w:val="0"/>
              <w:spacing w:line="285" w:lineRule="auto"/>
              <w:jc w:val="center"/>
              <w:rPr>
                <w:rFonts w:asciiTheme="minorHAnsi" w:hAnsiTheme="minorHAnsi"/>
                <w:b/>
                <w:sz w:val="20"/>
                <w:szCs w:val="20"/>
              </w:rPr>
            </w:pPr>
            <w:r w:rsidRPr="00376E4F">
              <w:rPr>
                <w:rFonts w:asciiTheme="minorHAnsi" w:hAnsiTheme="minorHAnsi"/>
                <w:b/>
                <w:sz w:val="20"/>
                <w:szCs w:val="20"/>
              </w:rPr>
              <w:fldChar w:fldCharType="begin"/>
            </w:r>
            <w:r w:rsidR="000115A7" w:rsidRPr="00376E4F">
              <w:rPr>
                <w:rFonts w:asciiTheme="minorHAnsi" w:hAnsiTheme="minorHAnsi"/>
                <w:b/>
                <w:sz w:val="20"/>
                <w:szCs w:val="20"/>
              </w:rPr>
              <w:instrText xml:space="preserve"> =SUM(ABOVE) </w:instrText>
            </w:r>
            <w:r w:rsidRPr="00376E4F">
              <w:rPr>
                <w:rFonts w:asciiTheme="minorHAnsi" w:hAnsiTheme="minorHAnsi"/>
                <w:b/>
                <w:sz w:val="20"/>
                <w:szCs w:val="20"/>
              </w:rPr>
              <w:fldChar w:fldCharType="separate"/>
            </w:r>
            <w:r w:rsidR="000115A7" w:rsidRPr="00376E4F">
              <w:rPr>
                <w:rFonts w:asciiTheme="minorHAnsi" w:hAnsiTheme="minorHAnsi"/>
                <w:b/>
                <w:sz w:val="20"/>
                <w:szCs w:val="20"/>
              </w:rPr>
              <w:t>95</w:t>
            </w:r>
            <w:r w:rsidRPr="00376E4F">
              <w:rPr>
                <w:rFonts w:asciiTheme="minorHAnsi" w:hAnsiTheme="minorHAnsi"/>
                <w:b/>
                <w:sz w:val="20"/>
                <w:szCs w:val="20"/>
              </w:rPr>
              <w:fldChar w:fldCharType="end"/>
            </w:r>
          </w:p>
        </w:tc>
        <w:tc>
          <w:tcPr>
            <w:tcW w:w="1026" w:type="pct"/>
            <w:shd w:val="clear" w:color="auto" w:fill="auto"/>
            <w:vAlign w:val="center"/>
          </w:tcPr>
          <w:p w:rsidR="000115A7" w:rsidRPr="00376E4F" w:rsidRDefault="003D2E84" w:rsidP="000115A7">
            <w:pPr>
              <w:widowControl w:val="0"/>
              <w:spacing w:line="285" w:lineRule="auto"/>
              <w:jc w:val="center"/>
              <w:rPr>
                <w:rFonts w:asciiTheme="minorHAnsi" w:hAnsiTheme="minorHAnsi"/>
                <w:b/>
                <w:sz w:val="20"/>
                <w:szCs w:val="20"/>
              </w:rPr>
            </w:pPr>
            <w:r w:rsidRPr="00376E4F">
              <w:rPr>
                <w:rFonts w:asciiTheme="minorHAnsi" w:hAnsiTheme="minorHAnsi"/>
                <w:b/>
                <w:sz w:val="20"/>
                <w:szCs w:val="20"/>
              </w:rPr>
              <w:fldChar w:fldCharType="begin"/>
            </w:r>
            <w:r w:rsidR="000115A7" w:rsidRPr="00376E4F">
              <w:rPr>
                <w:rFonts w:asciiTheme="minorHAnsi" w:hAnsiTheme="minorHAnsi"/>
                <w:b/>
                <w:sz w:val="20"/>
                <w:szCs w:val="20"/>
              </w:rPr>
              <w:instrText xml:space="preserve"> =SUM(ABOVE) </w:instrText>
            </w:r>
            <w:r w:rsidRPr="00376E4F">
              <w:rPr>
                <w:rFonts w:asciiTheme="minorHAnsi" w:hAnsiTheme="minorHAnsi"/>
                <w:b/>
                <w:sz w:val="20"/>
                <w:szCs w:val="20"/>
              </w:rPr>
              <w:fldChar w:fldCharType="separate"/>
            </w:r>
            <w:r w:rsidR="000115A7" w:rsidRPr="00376E4F">
              <w:rPr>
                <w:rFonts w:asciiTheme="minorHAnsi" w:hAnsiTheme="minorHAnsi"/>
                <w:b/>
                <w:sz w:val="20"/>
                <w:szCs w:val="20"/>
              </w:rPr>
              <w:t>358</w:t>
            </w:r>
            <w:r w:rsidRPr="00376E4F">
              <w:rPr>
                <w:rFonts w:asciiTheme="minorHAnsi" w:hAnsiTheme="minorHAnsi"/>
                <w:b/>
                <w:sz w:val="20"/>
                <w:szCs w:val="20"/>
              </w:rPr>
              <w:fldChar w:fldCharType="end"/>
            </w:r>
          </w:p>
        </w:tc>
        <w:tc>
          <w:tcPr>
            <w:tcW w:w="1064" w:type="pct"/>
            <w:shd w:val="clear" w:color="auto" w:fill="auto"/>
            <w:vAlign w:val="center"/>
          </w:tcPr>
          <w:p w:rsidR="000115A7" w:rsidRPr="00376E4F" w:rsidRDefault="000115A7" w:rsidP="000115A7">
            <w:pPr>
              <w:widowControl w:val="0"/>
              <w:spacing w:line="285" w:lineRule="auto"/>
              <w:jc w:val="center"/>
              <w:rPr>
                <w:rFonts w:asciiTheme="minorHAnsi" w:hAnsiTheme="minorHAnsi"/>
                <w:b/>
                <w:sz w:val="20"/>
                <w:szCs w:val="20"/>
              </w:rPr>
            </w:pPr>
            <w:r w:rsidRPr="00376E4F">
              <w:rPr>
                <w:rFonts w:asciiTheme="minorHAnsi" w:hAnsiTheme="minorHAnsi"/>
                <w:b/>
                <w:sz w:val="20"/>
                <w:szCs w:val="20"/>
              </w:rPr>
              <w:t>0</w:t>
            </w:r>
          </w:p>
        </w:tc>
      </w:tr>
    </w:tbl>
    <w:p w:rsidR="007F1652" w:rsidRPr="007F1652" w:rsidRDefault="007F1652" w:rsidP="007F1652">
      <w:pPr>
        <w:widowControl w:val="0"/>
        <w:spacing w:before="120"/>
        <w:jc w:val="both"/>
        <w:rPr>
          <w:rFonts w:asciiTheme="minorHAnsi" w:hAnsiTheme="minorHAnsi"/>
        </w:rPr>
      </w:pPr>
      <w:r w:rsidRPr="007F1652">
        <w:rPr>
          <w:rFonts w:asciiTheme="minorHAnsi" w:hAnsiTheme="minorHAnsi"/>
        </w:rPr>
        <w:t>Veicot pārbaudes stādaudzētavās, tiek apskatīta arī tuvākajā apkārtnē augošie organisma saimniekaugi.</w:t>
      </w:r>
    </w:p>
    <w:p w:rsidR="007F1652" w:rsidRPr="007F1652" w:rsidRDefault="007F1652" w:rsidP="007F1652">
      <w:pPr>
        <w:widowControl w:val="0"/>
        <w:spacing w:before="120"/>
        <w:jc w:val="both"/>
        <w:rPr>
          <w:rFonts w:asciiTheme="minorHAnsi" w:hAnsiTheme="minorHAnsi"/>
        </w:rPr>
      </w:pPr>
      <w:r w:rsidRPr="007F1652">
        <w:rPr>
          <w:rFonts w:asciiTheme="minorHAnsi" w:hAnsiTheme="minorHAnsi"/>
        </w:rPr>
        <w:t>Stādaudzētavu tuvējā apkārtnē ir veikta 41 pārbaude. Noņemti 2 paraugi, jo pazīmes ir bijušas līdzīgas bakteriālo iedegu pazīmēm, bet slimība nav konstatēta.</w:t>
      </w:r>
    </w:p>
    <w:p w:rsidR="002838F2" w:rsidRPr="004E6BD8" w:rsidRDefault="002838F2" w:rsidP="00511419">
      <w:pPr>
        <w:spacing w:before="120"/>
        <w:ind w:firstLine="600"/>
        <w:jc w:val="both"/>
        <w:rPr>
          <w:rFonts w:asciiTheme="minorHAnsi" w:hAnsiTheme="minorHAnsi"/>
        </w:rPr>
      </w:pPr>
    </w:p>
    <w:p w:rsidR="002838F2" w:rsidRDefault="002838F2" w:rsidP="007F1652">
      <w:pPr>
        <w:shd w:val="clear" w:color="auto" w:fill="DAEEF3" w:themeFill="accent5" w:themeFillTint="33"/>
        <w:jc w:val="both"/>
        <w:rPr>
          <w:rFonts w:asciiTheme="minorHAnsi" w:hAnsiTheme="minorHAnsi"/>
        </w:rPr>
      </w:pPr>
      <w:r w:rsidRPr="007F1652">
        <w:rPr>
          <w:rFonts w:asciiTheme="minorHAnsi" w:hAnsiTheme="minorHAnsi"/>
        </w:rPr>
        <w:t>Stādaudzētavu tuvākās apkārtnes pārbaužu rezultāti</w:t>
      </w:r>
    </w:p>
    <w:p w:rsidR="007F1652" w:rsidRPr="007F1652" w:rsidRDefault="007F1652" w:rsidP="007F1652">
      <w:pPr>
        <w:shd w:val="clear" w:color="auto" w:fill="FFFFFF" w:themeFill="background1"/>
        <w:jc w:val="both"/>
        <w:rPr>
          <w:rFonts w:asciiTheme="minorHAnsi" w:hAnsiTheme="minorHAnsi"/>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728"/>
        <w:gridCol w:w="1900"/>
        <w:gridCol w:w="2151"/>
        <w:gridCol w:w="1796"/>
        <w:gridCol w:w="1759"/>
      </w:tblGrid>
      <w:tr w:rsidR="002838F2" w:rsidRPr="00376E4F" w:rsidTr="007F1652">
        <w:trPr>
          <w:jc w:val="center"/>
        </w:trPr>
        <w:tc>
          <w:tcPr>
            <w:tcW w:w="926" w:type="pct"/>
            <w:shd w:val="clear" w:color="auto" w:fill="auto"/>
          </w:tcPr>
          <w:p w:rsidR="002838F2" w:rsidRPr="00376E4F" w:rsidRDefault="002838F2" w:rsidP="007F1652">
            <w:pPr>
              <w:widowControl w:val="0"/>
              <w:spacing w:line="285" w:lineRule="auto"/>
              <w:rPr>
                <w:rFonts w:asciiTheme="minorHAnsi" w:hAnsiTheme="minorHAnsi"/>
                <w:b/>
                <w:sz w:val="20"/>
                <w:szCs w:val="20"/>
              </w:rPr>
            </w:pPr>
            <w:r w:rsidRPr="00376E4F">
              <w:rPr>
                <w:rFonts w:asciiTheme="minorHAnsi" w:hAnsiTheme="minorHAnsi"/>
                <w:b/>
                <w:sz w:val="20"/>
                <w:szCs w:val="20"/>
              </w:rPr>
              <w:t>Reģions</w:t>
            </w:r>
          </w:p>
        </w:tc>
        <w:tc>
          <w:tcPr>
            <w:tcW w:w="1018" w:type="pct"/>
            <w:shd w:val="clear" w:color="auto" w:fill="auto"/>
          </w:tcPr>
          <w:p w:rsidR="002838F2" w:rsidRPr="00376E4F" w:rsidRDefault="002838F2" w:rsidP="007F1652">
            <w:pPr>
              <w:widowControl w:val="0"/>
              <w:spacing w:line="285" w:lineRule="auto"/>
              <w:rPr>
                <w:rFonts w:asciiTheme="minorHAnsi" w:hAnsiTheme="minorHAnsi"/>
                <w:b/>
                <w:sz w:val="20"/>
                <w:szCs w:val="20"/>
              </w:rPr>
            </w:pPr>
            <w:r w:rsidRPr="00376E4F">
              <w:rPr>
                <w:rFonts w:asciiTheme="minorHAnsi" w:hAnsiTheme="minorHAnsi"/>
                <w:b/>
                <w:sz w:val="20"/>
                <w:szCs w:val="20"/>
              </w:rPr>
              <w:t>Pārbaužu skaits</w:t>
            </w:r>
          </w:p>
        </w:tc>
        <w:tc>
          <w:tcPr>
            <w:tcW w:w="1152" w:type="pct"/>
            <w:shd w:val="clear" w:color="auto" w:fill="auto"/>
          </w:tcPr>
          <w:p w:rsidR="002838F2" w:rsidRPr="00376E4F" w:rsidRDefault="002838F2" w:rsidP="007F1652">
            <w:pPr>
              <w:widowControl w:val="0"/>
              <w:spacing w:line="285" w:lineRule="auto"/>
              <w:rPr>
                <w:rFonts w:asciiTheme="minorHAnsi" w:hAnsiTheme="minorHAnsi"/>
                <w:b/>
                <w:sz w:val="20"/>
                <w:szCs w:val="20"/>
              </w:rPr>
            </w:pPr>
            <w:r w:rsidRPr="00376E4F">
              <w:rPr>
                <w:rFonts w:asciiTheme="minorHAnsi" w:hAnsiTheme="minorHAnsi"/>
                <w:b/>
                <w:sz w:val="20"/>
                <w:szCs w:val="20"/>
              </w:rPr>
              <w:t>Pārbaudīto vietu skaits</w:t>
            </w:r>
          </w:p>
        </w:tc>
        <w:tc>
          <w:tcPr>
            <w:tcW w:w="962" w:type="pct"/>
            <w:shd w:val="clear" w:color="auto" w:fill="auto"/>
          </w:tcPr>
          <w:p w:rsidR="002838F2" w:rsidRPr="00376E4F" w:rsidRDefault="002838F2" w:rsidP="007F1652">
            <w:pPr>
              <w:widowControl w:val="0"/>
              <w:spacing w:line="285" w:lineRule="auto"/>
              <w:rPr>
                <w:rFonts w:asciiTheme="minorHAnsi" w:hAnsiTheme="minorHAnsi"/>
                <w:b/>
                <w:sz w:val="20"/>
                <w:szCs w:val="20"/>
              </w:rPr>
            </w:pPr>
            <w:r w:rsidRPr="00376E4F">
              <w:rPr>
                <w:rFonts w:asciiTheme="minorHAnsi" w:hAnsiTheme="minorHAnsi"/>
                <w:b/>
                <w:sz w:val="20"/>
                <w:szCs w:val="20"/>
              </w:rPr>
              <w:t>Noņemto paraugu skaits</w:t>
            </w:r>
          </w:p>
        </w:tc>
        <w:tc>
          <w:tcPr>
            <w:tcW w:w="942" w:type="pct"/>
            <w:shd w:val="clear" w:color="auto" w:fill="auto"/>
          </w:tcPr>
          <w:p w:rsidR="002838F2" w:rsidRPr="00376E4F" w:rsidRDefault="002838F2" w:rsidP="007F1652">
            <w:pPr>
              <w:widowControl w:val="0"/>
              <w:spacing w:line="285" w:lineRule="auto"/>
              <w:rPr>
                <w:rFonts w:asciiTheme="minorHAnsi" w:hAnsiTheme="minorHAnsi"/>
                <w:b/>
                <w:sz w:val="20"/>
                <w:szCs w:val="20"/>
              </w:rPr>
            </w:pPr>
            <w:r w:rsidRPr="00376E4F">
              <w:rPr>
                <w:rFonts w:asciiTheme="minorHAnsi" w:hAnsiTheme="minorHAnsi"/>
                <w:b/>
                <w:sz w:val="20"/>
                <w:szCs w:val="20"/>
              </w:rPr>
              <w:t xml:space="preserve">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sz w:val="20"/>
                <w:szCs w:val="20"/>
              </w:rPr>
            </w:pPr>
            <w:r w:rsidRPr="00376E4F">
              <w:rPr>
                <w:rFonts w:asciiTheme="minorHAnsi" w:hAnsiTheme="minorHAnsi"/>
                <w:sz w:val="20"/>
                <w:szCs w:val="20"/>
              </w:rPr>
              <w:t>Kurzeme</w:t>
            </w:r>
          </w:p>
        </w:tc>
        <w:tc>
          <w:tcPr>
            <w:tcW w:w="101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sz w:val="20"/>
                <w:szCs w:val="20"/>
              </w:rPr>
            </w:pPr>
            <w:r w:rsidRPr="00376E4F">
              <w:rPr>
                <w:rFonts w:asciiTheme="minorHAnsi" w:hAnsiTheme="minorHAnsi"/>
                <w:sz w:val="20"/>
                <w:szCs w:val="20"/>
              </w:rPr>
              <w:t>Latgale</w:t>
            </w:r>
          </w:p>
        </w:tc>
        <w:tc>
          <w:tcPr>
            <w:tcW w:w="101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sz w:val="20"/>
                <w:szCs w:val="20"/>
              </w:rPr>
            </w:pPr>
            <w:r w:rsidRPr="00376E4F">
              <w:rPr>
                <w:rFonts w:asciiTheme="minorHAnsi" w:hAnsiTheme="minorHAnsi"/>
                <w:sz w:val="20"/>
                <w:szCs w:val="20"/>
              </w:rPr>
              <w:t>Rīga</w:t>
            </w:r>
          </w:p>
        </w:tc>
        <w:tc>
          <w:tcPr>
            <w:tcW w:w="101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sz w:val="20"/>
                <w:szCs w:val="20"/>
              </w:rPr>
            </w:pPr>
            <w:r w:rsidRPr="00376E4F">
              <w:rPr>
                <w:rFonts w:asciiTheme="minorHAnsi" w:hAnsiTheme="minorHAnsi"/>
                <w:sz w:val="20"/>
                <w:szCs w:val="20"/>
              </w:rPr>
              <w:t>V</w:t>
            </w:r>
            <w:smartTag w:uri="urn:schemas-microsoft-com:office:smarttags" w:element="PersonName">
              <w:r w:rsidRPr="00376E4F">
                <w:rPr>
                  <w:rFonts w:asciiTheme="minorHAnsi" w:hAnsiTheme="minorHAnsi"/>
                  <w:sz w:val="20"/>
                  <w:szCs w:val="20"/>
                </w:rPr>
                <w:t>id</w:t>
              </w:r>
            </w:smartTag>
            <w:r w:rsidRPr="00376E4F">
              <w:rPr>
                <w:rFonts w:asciiTheme="minorHAnsi" w:hAnsiTheme="minorHAnsi"/>
                <w:sz w:val="20"/>
                <w:szCs w:val="20"/>
              </w:rPr>
              <w:t>zeme</w:t>
            </w:r>
          </w:p>
        </w:tc>
        <w:tc>
          <w:tcPr>
            <w:tcW w:w="101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7</w:t>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7</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sz w:val="20"/>
                <w:szCs w:val="20"/>
              </w:rPr>
            </w:pPr>
            <w:r w:rsidRPr="00376E4F">
              <w:rPr>
                <w:rFonts w:asciiTheme="minorHAnsi" w:hAnsiTheme="minorHAnsi"/>
                <w:sz w:val="20"/>
                <w:szCs w:val="20"/>
              </w:rPr>
              <w:t>Zemgale</w:t>
            </w:r>
          </w:p>
        </w:tc>
        <w:tc>
          <w:tcPr>
            <w:tcW w:w="101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19</w:t>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19</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26" w:type="pct"/>
            <w:shd w:val="clear" w:color="auto" w:fill="auto"/>
          </w:tcPr>
          <w:p w:rsidR="007F1652" w:rsidRPr="00376E4F" w:rsidRDefault="007F1652" w:rsidP="007F1652">
            <w:pPr>
              <w:widowControl w:val="0"/>
              <w:spacing w:line="285" w:lineRule="auto"/>
              <w:rPr>
                <w:rFonts w:asciiTheme="minorHAnsi" w:hAnsiTheme="minorHAnsi"/>
                <w:b/>
                <w:sz w:val="20"/>
                <w:szCs w:val="20"/>
              </w:rPr>
            </w:pPr>
            <w:r w:rsidRPr="00376E4F">
              <w:rPr>
                <w:rFonts w:asciiTheme="minorHAnsi" w:hAnsiTheme="minorHAnsi"/>
                <w:b/>
                <w:sz w:val="20"/>
                <w:szCs w:val="20"/>
              </w:rPr>
              <w:t>Kopā:</w:t>
            </w:r>
          </w:p>
        </w:tc>
        <w:tc>
          <w:tcPr>
            <w:tcW w:w="1018" w:type="pct"/>
            <w:shd w:val="clear" w:color="auto" w:fill="auto"/>
          </w:tcPr>
          <w:p w:rsidR="007F1652" w:rsidRPr="00376E4F" w:rsidRDefault="003D2E84"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fldChar w:fldCharType="begin"/>
            </w:r>
            <w:r w:rsidR="007F1652" w:rsidRPr="00376E4F">
              <w:rPr>
                <w:rFonts w:asciiTheme="minorHAnsi" w:hAnsiTheme="minorHAnsi"/>
                <w:b/>
                <w:sz w:val="20"/>
                <w:szCs w:val="20"/>
              </w:rPr>
              <w:instrText xml:space="preserve"> =SUM(ABOVE) </w:instrText>
            </w:r>
            <w:r w:rsidRPr="00376E4F">
              <w:rPr>
                <w:rFonts w:asciiTheme="minorHAnsi" w:hAnsiTheme="minorHAnsi"/>
                <w:b/>
                <w:sz w:val="20"/>
                <w:szCs w:val="20"/>
              </w:rPr>
              <w:fldChar w:fldCharType="separate"/>
            </w:r>
            <w:r w:rsidR="007F1652" w:rsidRPr="00376E4F">
              <w:rPr>
                <w:rFonts w:asciiTheme="minorHAnsi" w:hAnsiTheme="minorHAnsi"/>
                <w:b/>
                <w:sz w:val="20"/>
                <w:szCs w:val="20"/>
              </w:rPr>
              <w:t>41</w:t>
            </w:r>
            <w:r w:rsidRPr="00376E4F">
              <w:rPr>
                <w:rFonts w:asciiTheme="minorHAnsi" w:hAnsiTheme="minorHAnsi"/>
                <w:b/>
                <w:sz w:val="20"/>
                <w:szCs w:val="20"/>
              </w:rPr>
              <w:fldChar w:fldCharType="end"/>
            </w:r>
          </w:p>
        </w:tc>
        <w:tc>
          <w:tcPr>
            <w:tcW w:w="1152"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41</w:t>
            </w:r>
          </w:p>
        </w:tc>
        <w:tc>
          <w:tcPr>
            <w:tcW w:w="962"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2</w:t>
            </w:r>
          </w:p>
        </w:tc>
        <w:tc>
          <w:tcPr>
            <w:tcW w:w="942" w:type="pct"/>
            <w:shd w:val="clear" w:color="auto" w:fill="auto"/>
            <w:vAlign w:val="center"/>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0</w:t>
            </w:r>
          </w:p>
        </w:tc>
      </w:tr>
    </w:tbl>
    <w:p w:rsidR="002838F2" w:rsidRPr="004E6BD8" w:rsidRDefault="002838F2" w:rsidP="00511419">
      <w:pPr>
        <w:spacing w:before="120"/>
        <w:ind w:firstLine="600"/>
        <w:jc w:val="both"/>
        <w:rPr>
          <w:rFonts w:asciiTheme="minorHAnsi" w:hAnsiTheme="minorHAnsi"/>
        </w:rPr>
      </w:pPr>
    </w:p>
    <w:p w:rsidR="002838F2" w:rsidRPr="007F1652" w:rsidRDefault="007F1652" w:rsidP="007F1652">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 xml:space="preserve">Pārbaudes </w:t>
      </w:r>
      <w:proofErr w:type="spellStart"/>
      <w:r>
        <w:rPr>
          <w:rFonts w:asciiTheme="minorHAnsi" w:hAnsiTheme="minorHAnsi"/>
          <w:sz w:val="28"/>
        </w:rPr>
        <w:t>komercdārzos</w:t>
      </w:r>
      <w:proofErr w:type="spellEnd"/>
    </w:p>
    <w:p w:rsidR="007F1652" w:rsidRPr="007F1652" w:rsidRDefault="007F1652" w:rsidP="007F1652">
      <w:pPr>
        <w:widowControl w:val="0"/>
        <w:spacing w:before="120"/>
        <w:jc w:val="both"/>
        <w:rPr>
          <w:rFonts w:asciiTheme="minorHAnsi" w:hAnsiTheme="minorHAnsi"/>
        </w:rPr>
      </w:pPr>
      <w:r w:rsidRPr="007F1652">
        <w:rPr>
          <w:rFonts w:asciiTheme="minorHAnsi" w:hAnsiTheme="minorHAnsi"/>
        </w:rPr>
        <w:t xml:space="preserve">Pēc Ministru Kabineta 2008.gada 21.jūlija noteikumiem Nr.578 „Bakteriālās iedegas apkarošanas un izplatības ierobežošanas kārtība” par </w:t>
      </w:r>
      <w:proofErr w:type="spellStart"/>
      <w:r w:rsidRPr="007F1652">
        <w:rPr>
          <w:rFonts w:asciiTheme="minorHAnsi" w:hAnsiTheme="minorHAnsi"/>
        </w:rPr>
        <w:t>komercdārziem</w:t>
      </w:r>
      <w:proofErr w:type="spellEnd"/>
      <w:r w:rsidRPr="007F1652">
        <w:rPr>
          <w:rFonts w:asciiTheme="minorHAnsi" w:hAnsiTheme="minorHAnsi"/>
        </w:rPr>
        <w:t xml:space="preserve"> noteikti:</w:t>
      </w:r>
    </w:p>
    <w:p w:rsidR="007F1652" w:rsidRPr="007F1652" w:rsidRDefault="007F1652" w:rsidP="001234C1">
      <w:pPr>
        <w:pStyle w:val="ListParagraph"/>
        <w:widowControl w:val="0"/>
        <w:numPr>
          <w:ilvl w:val="0"/>
          <w:numId w:val="12"/>
        </w:numPr>
        <w:spacing w:before="120"/>
        <w:jc w:val="both"/>
        <w:rPr>
          <w:rFonts w:asciiTheme="minorHAnsi" w:hAnsiTheme="minorHAnsi"/>
        </w:rPr>
      </w:pPr>
      <w:r w:rsidRPr="007F1652">
        <w:rPr>
          <w:rFonts w:asciiTheme="minorHAnsi" w:hAnsiTheme="minorHAnsi"/>
        </w:rPr>
        <w:t>ābeļu stādījumi ne mazāki par vienu hektāru;</w:t>
      </w:r>
    </w:p>
    <w:p w:rsidR="007F1652" w:rsidRPr="007F1652" w:rsidRDefault="007F1652" w:rsidP="001234C1">
      <w:pPr>
        <w:pStyle w:val="ListParagraph"/>
        <w:widowControl w:val="0"/>
        <w:numPr>
          <w:ilvl w:val="0"/>
          <w:numId w:val="12"/>
        </w:numPr>
        <w:spacing w:before="120"/>
        <w:jc w:val="both"/>
        <w:rPr>
          <w:rFonts w:asciiTheme="minorHAnsi" w:hAnsiTheme="minorHAnsi"/>
        </w:rPr>
      </w:pPr>
      <w:r w:rsidRPr="007F1652">
        <w:rPr>
          <w:rFonts w:asciiTheme="minorHAnsi" w:hAnsiTheme="minorHAnsi"/>
        </w:rPr>
        <w:t>bumbieru un krūmcidoniju stādījumi ne mazāki par 0,5 hektāriem.</w:t>
      </w:r>
    </w:p>
    <w:p w:rsidR="007F1652" w:rsidRDefault="007F1652" w:rsidP="007F1652">
      <w:pPr>
        <w:widowControl w:val="0"/>
        <w:spacing w:before="120"/>
        <w:jc w:val="both"/>
        <w:rPr>
          <w:rFonts w:asciiTheme="minorHAnsi" w:hAnsiTheme="minorHAnsi"/>
        </w:rPr>
      </w:pPr>
      <w:proofErr w:type="spellStart"/>
      <w:r w:rsidRPr="007F1652">
        <w:rPr>
          <w:rFonts w:asciiTheme="minorHAnsi" w:hAnsiTheme="minorHAnsi"/>
        </w:rPr>
        <w:t>Komercdārzos</w:t>
      </w:r>
      <w:proofErr w:type="spellEnd"/>
      <w:r w:rsidRPr="007F1652">
        <w:rPr>
          <w:rFonts w:asciiTheme="minorHAnsi" w:hAnsiTheme="minorHAnsi"/>
        </w:rPr>
        <w:t xml:space="preserve"> pārbaudes uz bakteriālajām iedegām veic vismaz 1 reizi veģetācijas periodā – vai nu ziedēšanas laikā vai nu jūlija/augusta mēnešos. Paraugus noņem tikai tad, ja redzamas slimības pazīmes. Kopā </w:t>
      </w:r>
      <w:proofErr w:type="spellStart"/>
      <w:r w:rsidRPr="007F1652">
        <w:rPr>
          <w:rFonts w:asciiTheme="minorHAnsi" w:hAnsiTheme="minorHAnsi"/>
        </w:rPr>
        <w:t>komercdārzos</w:t>
      </w:r>
      <w:proofErr w:type="spellEnd"/>
      <w:r w:rsidRPr="007F1652">
        <w:rPr>
          <w:rFonts w:asciiTheme="minorHAnsi" w:hAnsiTheme="minorHAnsi"/>
        </w:rPr>
        <w:t xml:space="preserve"> veiktas 247 pārbaudes un pārbaudītas 239 </w:t>
      </w:r>
      <w:r w:rsidRPr="007F1652">
        <w:rPr>
          <w:rFonts w:asciiTheme="minorHAnsi" w:hAnsiTheme="minorHAnsi"/>
        </w:rPr>
        <w:lastRenderedPageBreak/>
        <w:t>saimniecības. Laboratoriskai analizēšanai noņemti 18 paraugi, kuros baktērija netika konstatēta.</w:t>
      </w:r>
    </w:p>
    <w:p w:rsidR="007F1652" w:rsidRPr="00376E4F" w:rsidRDefault="007F1652" w:rsidP="007F1652">
      <w:pPr>
        <w:widowControl w:val="0"/>
        <w:spacing w:before="120"/>
        <w:jc w:val="both"/>
        <w:rPr>
          <w:rFonts w:asciiTheme="minorHAnsi" w:hAnsiTheme="minorHAnsi"/>
          <w:sz w:val="4"/>
          <w:szCs w:val="4"/>
        </w:rPr>
      </w:pPr>
    </w:p>
    <w:p w:rsidR="002838F2" w:rsidRDefault="002838F2" w:rsidP="007F1652">
      <w:pPr>
        <w:shd w:val="clear" w:color="auto" w:fill="DAEEF3" w:themeFill="accent5" w:themeFillTint="33"/>
        <w:jc w:val="both"/>
        <w:rPr>
          <w:rFonts w:asciiTheme="minorHAnsi" w:hAnsiTheme="minorHAnsi"/>
        </w:rPr>
      </w:pPr>
      <w:proofErr w:type="spellStart"/>
      <w:r w:rsidRPr="007F1652">
        <w:rPr>
          <w:rFonts w:asciiTheme="minorHAnsi" w:hAnsiTheme="minorHAnsi"/>
        </w:rPr>
        <w:t>Komercdārzu</w:t>
      </w:r>
      <w:proofErr w:type="spellEnd"/>
      <w:r w:rsidRPr="007F1652">
        <w:rPr>
          <w:rFonts w:asciiTheme="minorHAnsi" w:hAnsiTheme="minorHAnsi"/>
        </w:rPr>
        <w:t xml:space="preserve"> pārbaužu rezultāti</w:t>
      </w:r>
    </w:p>
    <w:p w:rsidR="007F1652" w:rsidRPr="004E6BD8" w:rsidRDefault="007F1652" w:rsidP="007F1652">
      <w:pPr>
        <w:shd w:val="clear" w:color="auto" w:fill="FFFFFF" w:themeFill="background1"/>
        <w:jc w:val="both"/>
        <w:rPr>
          <w:rFonts w:asciiTheme="minorHAnsi" w:hAnsiTheme="minorHAnsi"/>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678"/>
        <w:gridCol w:w="1865"/>
        <w:gridCol w:w="2108"/>
        <w:gridCol w:w="1760"/>
        <w:gridCol w:w="1923"/>
      </w:tblGrid>
      <w:tr w:rsidR="002838F2" w:rsidRPr="00376E4F" w:rsidTr="007F1652">
        <w:trPr>
          <w:jc w:val="center"/>
        </w:trPr>
        <w:tc>
          <w:tcPr>
            <w:tcW w:w="899"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Reģions</w:t>
            </w:r>
          </w:p>
        </w:tc>
        <w:tc>
          <w:tcPr>
            <w:tcW w:w="999"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Pārbaužu skaits</w:t>
            </w:r>
          </w:p>
        </w:tc>
        <w:tc>
          <w:tcPr>
            <w:tcW w:w="1129"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Pārbaudīto vietu skaits</w:t>
            </w:r>
          </w:p>
        </w:tc>
        <w:tc>
          <w:tcPr>
            <w:tcW w:w="943"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Noņemto paraugu skaits</w:t>
            </w:r>
          </w:p>
        </w:tc>
        <w:tc>
          <w:tcPr>
            <w:tcW w:w="1030"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proofErr w:type="spellStart"/>
            <w:r w:rsidRPr="00376E4F">
              <w:rPr>
                <w:rFonts w:asciiTheme="minorHAnsi" w:hAnsiTheme="minorHAnsi"/>
                <w:b/>
                <w:sz w:val="20"/>
                <w:szCs w:val="20"/>
              </w:rPr>
              <w:t>Erwinia</w:t>
            </w:r>
            <w:proofErr w:type="spellEnd"/>
            <w:r w:rsidRPr="00376E4F">
              <w:rPr>
                <w:rFonts w:asciiTheme="minorHAnsi" w:hAnsiTheme="minorHAnsi"/>
                <w:b/>
                <w:sz w:val="20"/>
                <w:szCs w:val="20"/>
              </w:rPr>
              <w:t xml:space="preserv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Kurzeme</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33</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33</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Latgale</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83</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83</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Rīga</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31</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30</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V</w:t>
            </w:r>
            <w:smartTag w:uri="urn:schemas-microsoft-com:office:smarttags" w:element="PersonName">
              <w:r w:rsidRPr="00376E4F">
                <w:rPr>
                  <w:rFonts w:asciiTheme="minorHAnsi" w:hAnsiTheme="minorHAnsi"/>
                  <w:sz w:val="20"/>
                  <w:szCs w:val="20"/>
                </w:rPr>
                <w:t>id</w:t>
              </w:r>
            </w:smartTag>
            <w:r w:rsidRPr="00376E4F">
              <w:rPr>
                <w:rFonts w:asciiTheme="minorHAnsi" w:hAnsiTheme="minorHAnsi"/>
                <w:sz w:val="20"/>
                <w:szCs w:val="20"/>
              </w:rPr>
              <w:t>zeme</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62</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62</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11</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Zemgale</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38</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38</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899"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Kopā:</w:t>
            </w:r>
          </w:p>
        </w:tc>
        <w:tc>
          <w:tcPr>
            <w:tcW w:w="999"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247</w:t>
            </w:r>
          </w:p>
        </w:tc>
        <w:tc>
          <w:tcPr>
            <w:tcW w:w="1129"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246</w:t>
            </w:r>
          </w:p>
        </w:tc>
        <w:tc>
          <w:tcPr>
            <w:tcW w:w="943"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18</w:t>
            </w:r>
          </w:p>
        </w:tc>
        <w:tc>
          <w:tcPr>
            <w:tcW w:w="1030" w:type="pct"/>
            <w:shd w:val="clear" w:color="auto" w:fill="auto"/>
            <w:vAlign w:val="center"/>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0</w:t>
            </w:r>
          </w:p>
        </w:tc>
      </w:tr>
    </w:tbl>
    <w:p w:rsidR="002838F2" w:rsidRPr="004E6BD8" w:rsidRDefault="002838F2" w:rsidP="00511419">
      <w:pPr>
        <w:spacing w:before="120"/>
        <w:ind w:firstLine="600"/>
        <w:jc w:val="both"/>
        <w:rPr>
          <w:rFonts w:asciiTheme="minorHAnsi" w:hAnsiTheme="minorHAnsi"/>
        </w:rPr>
      </w:pPr>
    </w:p>
    <w:p w:rsidR="002838F2" w:rsidRPr="007F1652" w:rsidRDefault="002838F2" w:rsidP="007F1652">
      <w:pPr>
        <w:widowControl w:val="0"/>
        <w:shd w:val="clear" w:color="auto" w:fill="EAF1DD" w:themeFill="accent3" w:themeFillTint="33"/>
        <w:spacing w:before="120"/>
        <w:jc w:val="both"/>
        <w:rPr>
          <w:rFonts w:asciiTheme="minorHAnsi" w:hAnsiTheme="minorHAnsi"/>
          <w:sz w:val="28"/>
        </w:rPr>
      </w:pPr>
      <w:r w:rsidRPr="007F1652">
        <w:rPr>
          <w:rFonts w:asciiTheme="minorHAnsi" w:hAnsiTheme="minorHAnsi"/>
          <w:sz w:val="28"/>
        </w:rPr>
        <w:t>Pārbaudes parkos, savvaļā un piemājas</w:t>
      </w:r>
      <w:r w:rsidR="007F1652">
        <w:rPr>
          <w:rFonts w:asciiTheme="minorHAnsi" w:hAnsiTheme="minorHAnsi"/>
          <w:sz w:val="28"/>
        </w:rPr>
        <w:t xml:space="preserve"> dārzos augošiem saimniekaugiem</w:t>
      </w:r>
    </w:p>
    <w:p w:rsidR="007F1652" w:rsidRPr="007F1652" w:rsidRDefault="007F1652" w:rsidP="007F1652">
      <w:pPr>
        <w:widowControl w:val="0"/>
        <w:spacing w:before="120"/>
        <w:jc w:val="both"/>
        <w:rPr>
          <w:rFonts w:asciiTheme="minorHAnsi" w:hAnsiTheme="minorHAnsi"/>
        </w:rPr>
      </w:pPr>
      <w:r w:rsidRPr="007F1652">
        <w:rPr>
          <w:rFonts w:asciiTheme="minorHAnsi" w:hAnsiTheme="minorHAnsi"/>
        </w:rPr>
        <w:t>Daudzi bakteriālo iedegu saimniekaugi ir izmantoti publisku vietu apzaļumošanā, tāpat nereti redzami veci, pamesti ābeļdārzi vai atsevišķi augoši augļkoki ceļmalās. Arī tie rada risku būt inficētiem ar šo karantīnas organismu un izplatīt to tālāk. Tādēļ būtiski veikt arī šādās vietās esošu saimniekaugu pārbaudi.</w:t>
      </w:r>
    </w:p>
    <w:p w:rsidR="007F1652" w:rsidRPr="007F1652" w:rsidRDefault="007F1652" w:rsidP="007F1652">
      <w:pPr>
        <w:widowControl w:val="0"/>
        <w:spacing w:before="120"/>
        <w:jc w:val="both"/>
        <w:rPr>
          <w:rFonts w:asciiTheme="minorHAnsi" w:hAnsiTheme="minorHAnsi"/>
        </w:rPr>
      </w:pPr>
      <w:r w:rsidRPr="007F1652">
        <w:rPr>
          <w:rFonts w:asciiTheme="minorHAnsi" w:hAnsiTheme="minorHAnsi"/>
        </w:rPr>
        <w:t>Pārbaudes veic aptverot visu reģionu, pēc iespējas dažādākām saimniekaugu sugām, uzmanību pievēršot Lietuvas robežas un buferzonu tuvumam. Vairāk pievērš uzmanību savvaļā un piemājas dārzos augošiem saimniekaugiem un vietām, kuras līdz šim nav pārbaudītas. Pārbaudes veic no jūnija līdz augustam. Paraugi noņemti tikai simptomātiskiem saimniekaugiem.</w:t>
      </w:r>
    </w:p>
    <w:p w:rsidR="002838F2" w:rsidRPr="004E6BD8" w:rsidRDefault="002838F2" w:rsidP="00511419">
      <w:pPr>
        <w:spacing w:before="120"/>
        <w:ind w:firstLine="600"/>
        <w:jc w:val="both"/>
        <w:rPr>
          <w:rFonts w:asciiTheme="minorHAnsi" w:hAnsiTheme="minorHAnsi"/>
        </w:rPr>
      </w:pPr>
    </w:p>
    <w:p w:rsidR="002838F2" w:rsidRPr="007F1652" w:rsidRDefault="002838F2" w:rsidP="007F1652">
      <w:pPr>
        <w:shd w:val="clear" w:color="auto" w:fill="DAEEF3" w:themeFill="accent5" w:themeFillTint="33"/>
        <w:jc w:val="both"/>
        <w:rPr>
          <w:rFonts w:asciiTheme="minorHAnsi" w:hAnsiTheme="minorHAnsi"/>
        </w:rPr>
      </w:pPr>
      <w:r w:rsidRPr="007F1652">
        <w:rPr>
          <w:rFonts w:asciiTheme="minorHAnsi" w:hAnsiTheme="minorHAnsi"/>
        </w:rPr>
        <w:t xml:space="preserve">Parkos, savvaļā un piemājas dārzos augošu </w:t>
      </w:r>
      <w:r w:rsidR="007F1652" w:rsidRPr="007F1652">
        <w:rPr>
          <w:rFonts w:asciiTheme="minorHAnsi" w:hAnsiTheme="minorHAnsi"/>
        </w:rPr>
        <w:t>saimniekaugu pārbaužu rezultāti</w:t>
      </w:r>
    </w:p>
    <w:p w:rsidR="007F1652" w:rsidRPr="004E6BD8" w:rsidRDefault="007F1652" w:rsidP="00511419">
      <w:pPr>
        <w:spacing w:before="120"/>
        <w:ind w:firstLine="600"/>
        <w:jc w:val="center"/>
        <w:rPr>
          <w:rFonts w:asciiTheme="minorHAnsi" w:hAnsiTheme="minorHAnsi"/>
          <w:b/>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747"/>
        <w:gridCol w:w="1889"/>
        <w:gridCol w:w="2029"/>
        <w:gridCol w:w="1686"/>
        <w:gridCol w:w="1983"/>
      </w:tblGrid>
      <w:tr w:rsidR="002838F2" w:rsidRPr="00376E4F" w:rsidTr="007F1652">
        <w:trPr>
          <w:jc w:val="center"/>
        </w:trPr>
        <w:tc>
          <w:tcPr>
            <w:tcW w:w="936"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Reģions</w:t>
            </w:r>
          </w:p>
        </w:tc>
        <w:tc>
          <w:tcPr>
            <w:tcW w:w="1012"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Pārbaužu skaits</w:t>
            </w:r>
          </w:p>
        </w:tc>
        <w:tc>
          <w:tcPr>
            <w:tcW w:w="1087"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Pārbaudīto vietu skaits</w:t>
            </w:r>
          </w:p>
        </w:tc>
        <w:tc>
          <w:tcPr>
            <w:tcW w:w="903"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Noņemto paraugu skaits</w:t>
            </w:r>
          </w:p>
        </w:tc>
        <w:tc>
          <w:tcPr>
            <w:tcW w:w="1062"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proofErr w:type="spellStart"/>
            <w:r w:rsidRPr="00376E4F">
              <w:rPr>
                <w:rFonts w:asciiTheme="minorHAnsi" w:hAnsiTheme="minorHAnsi"/>
                <w:b/>
                <w:sz w:val="20"/>
                <w:szCs w:val="20"/>
              </w:rPr>
              <w:t>Erwinia</w:t>
            </w:r>
            <w:proofErr w:type="spellEnd"/>
            <w:r w:rsidRPr="00376E4F">
              <w:rPr>
                <w:rFonts w:asciiTheme="minorHAnsi" w:hAnsiTheme="minorHAnsi"/>
                <w:b/>
                <w:sz w:val="20"/>
                <w:szCs w:val="20"/>
              </w:rPr>
              <w:t xml:space="preserv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Kurzeme</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36</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36</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Latgale</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39</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39</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Rīga</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28</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28</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V</w:t>
            </w:r>
            <w:smartTag w:uri="urn:schemas-microsoft-com:office:smarttags" w:element="PersonName">
              <w:r w:rsidRPr="00376E4F">
                <w:rPr>
                  <w:rFonts w:asciiTheme="minorHAnsi" w:hAnsiTheme="minorHAnsi"/>
                  <w:sz w:val="20"/>
                  <w:szCs w:val="20"/>
                </w:rPr>
                <w:t>id</w:t>
              </w:r>
            </w:smartTag>
            <w:r w:rsidRPr="00376E4F">
              <w:rPr>
                <w:rFonts w:asciiTheme="minorHAnsi" w:hAnsiTheme="minorHAnsi"/>
                <w:sz w:val="20"/>
                <w:szCs w:val="20"/>
              </w:rPr>
              <w:t>zeme</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30</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29</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10</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Zemgale</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72</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72</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936"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Kopā:</w:t>
            </w:r>
          </w:p>
        </w:tc>
        <w:tc>
          <w:tcPr>
            <w:tcW w:w="1012"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205</w:t>
            </w:r>
          </w:p>
        </w:tc>
        <w:tc>
          <w:tcPr>
            <w:tcW w:w="1087"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204</w:t>
            </w:r>
          </w:p>
        </w:tc>
        <w:tc>
          <w:tcPr>
            <w:tcW w:w="903" w:type="pct"/>
            <w:shd w:val="clear" w:color="auto" w:fill="auto"/>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14</w:t>
            </w:r>
          </w:p>
        </w:tc>
        <w:tc>
          <w:tcPr>
            <w:tcW w:w="1062" w:type="pct"/>
            <w:shd w:val="clear" w:color="auto" w:fill="auto"/>
            <w:vAlign w:val="center"/>
          </w:tcPr>
          <w:p w:rsidR="007F1652" w:rsidRPr="00376E4F" w:rsidRDefault="007F165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0</w:t>
            </w:r>
          </w:p>
        </w:tc>
      </w:tr>
    </w:tbl>
    <w:p w:rsidR="002838F2" w:rsidRPr="004E6BD8" w:rsidRDefault="002838F2" w:rsidP="00511419">
      <w:pPr>
        <w:spacing w:before="120"/>
        <w:ind w:firstLine="600"/>
        <w:jc w:val="both"/>
        <w:rPr>
          <w:rFonts w:asciiTheme="minorHAnsi" w:hAnsiTheme="minorHAnsi"/>
        </w:rPr>
      </w:pPr>
    </w:p>
    <w:p w:rsidR="002838F2" w:rsidRPr="007F1652" w:rsidRDefault="002838F2" w:rsidP="007F1652">
      <w:pPr>
        <w:widowControl w:val="0"/>
        <w:shd w:val="clear" w:color="auto" w:fill="EAF1DD" w:themeFill="accent3" w:themeFillTint="33"/>
        <w:spacing w:before="120"/>
        <w:jc w:val="both"/>
        <w:rPr>
          <w:rFonts w:asciiTheme="minorHAnsi" w:hAnsiTheme="minorHAnsi"/>
          <w:sz w:val="28"/>
        </w:rPr>
      </w:pPr>
      <w:r w:rsidRPr="007F1652">
        <w:rPr>
          <w:rFonts w:asciiTheme="minorHAnsi" w:hAnsiTheme="minorHAnsi"/>
          <w:sz w:val="28"/>
        </w:rPr>
        <w:t>Pārbaud</w:t>
      </w:r>
      <w:r w:rsidR="007F1652">
        <w:rPr>
          <w:rFonts w:asciiTheme="minorHAnsi" w:hAnsiTheme="minorHAnsi"/>
          <w:sz w:val="28"/>
        </w:rPr>
        <w:t>es ģenētisko resursu kolekcijās</w:t>
      </w:r>
    </w:p>
    <w:p w:rsidR="007F1652" w:rsidRPr="00360E70" w:rsidRDefault="007F1652" w:rsidP="007F1652">
      <w:pPr>
        <w:widowControl w:val="0"/>
        <w:spacing w:before="120"/>
        <w:jc w:val="both"/>
        <w:rPr>
          <w:rFonts w:asciiTheme="minorHAnsi" w:hAnsiTheme="minorHAnsi"/>
        </w:rPr>
      </w:pPr>
      <w:r w:rsidRPr="00360E70">
        <w:rPr>
          <w:rFonts w:asciiTheme="minorHAnsi" w:hAnsiTheme="minorHAnsi"/>
        </w:rPr>
        <w:t xml:space="preserve">Katrā no </w:t>
      </w:r>
      <w:proofErr w:type="spellStart"/>
      <w:r w:rsidRPr="00360E70">
        <w:rPr>
          <w:rFonts w:asciiTheme="minorHAnsi" w:hAnsiTheme="minorHAnsi"/>
        </w:rPr>
        <w:t>Erwinia</w:t>
      </w:r>
      <w:proofErr w:type="spellEnd"/>
      <w:r w:rsidRPr="00360E70">
        <w:rPr>
          <w:rFonts w:asciiTheme="minorHAnsi" w:hAnsiTheme="minorHAnsi"/>
        </w:rPr>
        <w:t xml:space="preserve"> </w:t>
      </w:r>
      <w:proofErr w:type="spellStart"/>
      <w:r w:rsidRPr="00360E70">
        <w:rPr>
          <w:rFonts w:asciiTheme="minorHAnsi" w:hAnsiTheme="minorHAnsi"/>
        </w:rPr>
        <w:t>amylovora</w:t>
      </w:r>
      <w:proofErr w:type="spellEnd"/>
      <w:r w:rsidRPr="00360E70">
        <w:rPr>
          <w:rFonts w:asciiTheme="minorHAnsi" w:hAnsiTheme="minorHAnsi"/>
        </w:rPr>
        <w:t xml:space="preserve"> saimniekaugu genofonda kolekcijām (Latvijas Valsts Augļkopības institūtā un Pūres dārzkopības izmēģinājumu stacijā) veic vismaz: 1 pārbaudi ziedēšanas laikā, 1 pārbaudi jūnija beigās, 3 pārbaudes jūlijā, 3 pārbaudes augustā. Ņem paraugus ar simptomiem. Pārbaudes veic, lai precīzi novērtētu genofonda fitosanitāro stāvokli, jo kolekcijas tiek izmantotas zinātniskajam un selekcijas darbam, tādejādi ļoti svarīgi ir nodrošināt veselu materiālu. Bakteriālās iedegas ģenētisko resursu kolekcijās nav konstatētas.</w:t>
      </w:r>
    </w:p>
    <w:p w:rsidR="002838F2" w:rsidRPr="004E6BD8" w:rsidRDefault="002838F2" w:rsidP="00511419">
      <w:pPr>
        <w:spacing w:before="120"/>
        <w:ind w:firstLine="600"/>
        <w:jc w:val="both"/>
        <w:rPr>
          <w:rFonts w:asciiTheme="minorHAnsi" w:hAnsiTheme="minorHAnsi"/>
        </w:rPr>
      </w:pPr>
    </w:p>
    <w:p w:rsidR="002838F2" w:rsidRDefault="002838F2" w:rsidP="007F1652">
      <w:pPr>
        <w:shd w:val="clear" w:color="auto" w:fill="DAEEF3" w:themeFill="accent5" w:themeFillTint="33"/>
        <w:jc w:val="both"/>
        <w:rPr>
          <w:rFonts w:asciiTheme="minorHAnsi" w:hAnsiTheme="minorHAnsi"/>
        </w:rPr>
      </w:pPr>
      <w:r w:rsidRPr="007F1652">
        <w:rPr>
          <w:rFonts w:asciiTheme="minorHAnsi" w:hAnsiTheme="minorHAnsi"/>
        </w:rPr>
        <w:t>Ģenēt</w:t>
      </w:r>
      <w:r w:rsidR="007F1652">
        <w:rPr>
          <w:rFonts w:asciiTheme="minorHAnsi" w:hAnsiTheme="minorHAnsi"/>
        </w:rPr>
        <w:t>isko resursu pārbaužu rezultāti</w:t>
      </w:r>
    </w:p>
    <w:p w:rsidR="007F1652" w:rsidRPr="007F1652" w:rsidRDefault="007F1652" w:rsidP="007F1652">
      <w:pPr>
        <w:shd w:val="clear" w:color="auto" w:fill="FFFFFF" w:themeFill="background1"/>
        <w:jc w:val="both"/>
        <w:rPr>
          <w:rFonts w:asciiTheme="minorHAnsi" w:hAnsiTheme="minorHAnsi"/>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000" w:firstRow="0" w:lastRow="0" w:firstColumn="0" w:lastColumn="0" w:noHBand="0" w:noVBand="0"/>
      </w:tblPr>
      <w:tblGrid>
        <w:gridCol w:w="3385"/>
        <w:gridCol w:w="1723"/>
        <w:gridCol w:w="2225"/>
        <w:gridCol w:w="2001"/>
      </w:tblGrid>
      <w:tr w:rsidR="002838F2" w:rsidRPr="00376E4F" w:rsidTr="007F1652">
        <w:trPr>
          <w:trHeight w:val="519"/>
          <w:jc w:val="center"/>
        </w:trPr>
        <w:tc>
          <w:tcPr>
            <w:tcW w:w="1813" w:type="pct"/>
            <w:shd w:val="clear" w:color="auto" w:fill="auto"/>
          </w:tcPr>
          <w:p w:rsidR="002838F2" w:rsidRPr="00376E4F" w:rsidRDefault="002838F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Ģenētisko resursu uzturētājs</w:t>
            </w:r>
          </w:p>
        </w:tc>
        <w:tc>
          <w:tcPr>
            <w:tcW w:w="923" w:type="pct"/>
            <w:shd w:val="clear" w:color="auto" w:fill="auto"/>
          </w:tcPr>
          <w:p w:rsidR="002838F2" w:rsidRPr="00376E4F" w:rsidRDefault="002838F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Pārbaužu skaits</w:t>
            </w:r>
          </w:p>
        </w:tc>
        <w:tc>
          <w:tcPr>
            <w:tcW w:w="1192" w:type="pct"/>
            <w:shd w:val="clear" w:color="auto" w:fill="auto"/>
          </w:tcPr>
          <w:p w:rsidR="002838F2" w:rsidRPr="00376E4F" w:rsidRDefault="002838F2" w:rsidP="007F1652">
            <w:pPr>
              <w:widowControl w:val="0"/>
              <w:spacing w:line="285" w:lineRule="auto"/>
              <w:rPr>
                <w:rFonts w:asciiTheme="minorHAnsi" w:hAnsiTheme="minorHAnsi"/>
                <w:sz w:val="20"/>
                <w:szCs w:val="20"/>
              </w:rPr>
            </w:pPr>
            <w:r w:rsidRPr="00376E4F">
              <w:rPr>
                <w:rFonts w:asciiTheme="minorHAnsi" w:hAnsiTheme="minorHAnsi"/>
                <w:sz w:val="20"/>
                <w:szCs w:val="20"/>
              </w:rPr>
              <w:t>Noņemto paraugu skaits</w:t>
            </w:r>
          </w:p>
        </w:tc>
        <w:tc>
          <w:tcPr>
            <w:tcW w:w="1072" w:type="pct"/>
          </w:tcPr>
          <w:p w:rsidR="002838F2" w:rsidRPr="00376E4F" w:rsidRDefault="002838F2" w:rsidP="007F1652">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Erwinia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amylovora</w:t>
            </w:r>
            <w:proofErr w:type="spellEnd"/>
            <w:r w:rsidRPr="00376E4F">
              <w:rPr>
                <w:rFonts w:asciiTheme="minorHAnsi" w:hAnsiTheme="minorHAnsi"/>
                <w:sz w:val="20"/>
                <w:szCs w:val="20"/>
              </w:rPr>
              <w:t xml:space="preserve"> pozitīvie paraugi</w:t>
            </w:r>
          </w:p>
        </w:tc>
      </w:tr>
      <w:tr w:rsidR="007F1652" w:rsidRPr="00376E4F" w:rsidTr="007F1652">
        <w:trPr>
          <w:trHeight w:val="375"/>
          <w:jc w:val="center"/>
        </w:trPr>
        <w:tc>
          <w:tcPr>
            <w:tcW w:w="181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SIA Pūres Dārzkopības pētījumu centrs</w:t>
            </w:r>
          </w:p>
        </w:tc>
        <w:tc>
          <w:tcPr>
            <w:tcW w:w="923"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1192"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072" w:type="pct"/>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trHeight w:val="390"/>
          <w:jc w:val="center"/>
        </w:trPr>
        <w:tc>
          <w:tcPr>
            <w:tcW w:w="1813"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Latvijas Valsts Augļkopības institūts</w:t>
            </w:r>
          </w:p>
        </w:tc>
        <w:tc>
          <w:tcPr>
            <w:tcW w:w="923"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1192"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4</w:t>
            </w:r>
          </w:p>
        </w:tc>
        <w:tc>
          <w:tcPr>
            <w:tcW w:w="1072" w:type="pct"/>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trHeight w:val="330"/>
          <w:jc w:val="center"/>
        </w:trPr>
        <w:tc>
          <w:tcPr>
            <w:tcW w:w="1813"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Kopā:</w:t>
            </w:r>
          </w:p>
        </w:tc>
        <w:tc>
          <w:tcPr>
            <w:tcW w:w="923"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16</w:t>
            </w:r>
          </w:p>
        </w:tc>
        <w:tc>
          <w:tcPr>
            <w:tcW w:w="1192" w:type="pc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5</w:t>
            </w:r>
          </w:p>
        </w:tc>
        <w:tc>
          <w:tcPr>
            <w:tcW w:w="1072" w:type="pct"/>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bl>
    <w:p w:rsidR="002838F2" w:rsidRPr="004E6BD8" w:rsidRDefault="002838F2" w:rsidP="00511419">
      <w:pPr>
        <w:spacing w:before="120"/>
        <w:ind w:firstLine="600"/>
        <w:jc w:val="both"/>
        <w:rPr>
          <w:rFonts w:asciiTheme="minorHAnsi" w:hAnsiTheme="minorHAnsi"/>
        </w:rPr>
      </w:pPr>
    </w:p>
    <w:p w:rsidR="002838F2" w:rsidRPr="007F1652" w:rsidRDefault="002838F2" w:rsidP="007F1652">
      <w:pPr>
        <w:widowControl w:val="0"/>
        <w:shd w:val="clear" w:color="auto" w:fill="EAF1DD" w:themeFill="accent3" w:themeFillTint="33"/>
        <w:spacing w:before="120"/>
        <w:jc w:val="both"/>
        <w:rPr>
          <w:rFonts w:asciiTheme="minorHAnsi" w:hAnsiTheme="minorHAnsi"/>
          <w:sz w:val="28"/>
        </w:rPr>
      </w:pPr>
      <w:r w:rsidRPr="007F1652">
        <w:rPr>
          <w:rFonts w:asciiTheme="minorHAnsi" w:hAnsiTheme="minorHAnsi"/>
          <w:sz w:val="28"/>
        </w:rPr>
        <w:t>Pārbaudes iepriekšējo gadu per</w:t>
      </w:r>
      <w:r w:rsidR="00492254">
        <w:rPr>
          <w:rFonts w:asciiTheme="minorHAnsi" w:hAnsiTheme="minorHAnsi"/>
          <w:sz w:val="28"/>
        </w:rPr>
        <w:t>ēkļos</w:t>
      </w:r>
    </w:p>
    <w:p w:rsidR="007F1652" w:rsidRPr="00360E70" w:rsidRDefault="007F1652" w:rsidP="007F1652">
      <w:pPr>
        <w:widowControl w:val="0"/>
        <w:spacing w:before="120"/>
        <w:jc w:val="both"/>
        <w:rPr>
          <w:rFonts w:asciiTheme="minorHAnsi" w:hAnsiTheme="minorHAnsi"/>
        </w:rPr>
      </w:pPr>
      <w:r w:rsidRPr="00360E70">
        <w:rPr>
          <w:rFonts w:asciiTheme="minorHAnsi" w:hAnsiTheme="minorHAnsi"/>
        </w:rPr>
        <w:t>Vietās, kur bakteriālās iedegas ir konstatētas 2010. un 2011.gadā (perēkļos) pārbaudes veica arī 2012.gadā, lai noteiktu vai 2010. un 2011.gadā piemērotie fitosanitārie pasākumi ir bijuši pietiekami efektīvi un vai organisms nav izplatījies tālāk, t. i. vai nav inficējušies citi šajā vietā augošie bakteriālo iedegu saimniekaugi.</w:t>
      </w:r>
    </w:p>
    <w:p w:rsidR="007F1652" w:rsidRDefault="007F1652" w:rsidP="007F1652">
      <w:pPr>
        <w:widowControl w:val="0"/>
        <w:spacing w:before="120"/>
        <w:jc w:val="both"/>
        <w:rPr>
          <w:rFonts w:asciiTheme="minorHAnsi" w:hAnsiTheme="minorHAnsi"/>
        </w:rPr>
      </w:pPr>
      <w:r w:rsidRPr="00360E70">
        <w:rPr>
          <w:rFonts w:asciiTheme="minorHAnsi" w:hAnsiTheme="minorHAnsi"/>
        </w:rPr>
        <w:t>Perēkļos vizuālo pārbaudi veic reizi mēnesī trīs mēnešu periodā – jūnijā, jūlijā, augustā. Pārbaudes veiktas divos šādos perēkļos. Pārbaudēs noņemti 9 paraugi ar vizuālajām pazīmēs, kas līdzīgas bakteriālajām iedegām, bet slimība laboratoriski netika apstiprināta. Tādējādi vienā no šiem perēkļiem bakteriālās iedegas nav konstatētas divus gadus pēc kārtas un līdz ar to var atcelt tur piemērotos fitosanitāros pasākumus. Kā perēklis ir uzskatāma 1 audzēšanas vieta, kur 2013.gadā turpināsies pārbaudes.</w:t>
      </w:r>
    </w:p>
    <w:p w:rsidR="007F1652" w:rsidRPr="00360E70" w:rsidRDefault="007F1652" w:rsidP="007F1652">
      <w:pPr>
        <w:widowControl w:val="0"/>
        <w:spacing w:before="120"/>
        <w:jc w:val="both"/>
        <w:rPr>
          <w:rFonts w:asciiTheme="minorHAnsi" w:hAnsiTheme="minorHAnsi"/>
        </w:rPr>
      </w:pPr>
    </w:p>
    <w:p w:rsidR="002838F2" w:rsidRPr="007F1652" w:rsidRDefault="002838F2" w:rsidP="007F1652">
      <w:pPr>
        <w:shd w:val="clear" w:color="auto" w:fill="DAEEF3" w:themeFill="accent5" w:themeFillTint="33"/>
        <w:jc w:val="both"/>
        <w:rPr>
          <w:rFonts w:asciiTheme="minorHAnsi" w:hAnsiTheme="minorHAnsi"/>
        </w:rPr>
      </w:pPr>
      <w:r w:rsidRPr="007F1652">
        <w:rPr>
          <w:rFonts w:asciiTheme="minorHAnsi" w:hAnsiTheme="minorHAnsi"/>
        </w:rPr>
        <w:t>20</w:t>
      </w:r>
      <w:r w:rsidR="007F1652" w:rsidRPr="007F1652">
        <w:rPr>
          <w:rFonts w:asciiTheme="minorHAnsi" w:hAnsiTheme="minorHAnsi"/>
        </w:rPr>
        <w:t>10</w:t>
      </w:r>
      <w:r w:rsidRPr="007F1652">
        <w:rPr>
          <w:rFonts w:asciiTheme="minorHAnsi" w:hAnsiTheme="minorHAnsi"/>
        </w:rPr>
        <w:t>. un 201</w:t>
      </w:r>
      <w:r w:rsidR="007F1652" w:rsidRPr="007F1652">
        <w:rPr>
          <w:rFonts w:asciiTheme="minorHAnsi" w:hAnsiTheme="minorHAnsi"/>
        </w:rPr>
        <w:t>1</w:t>
      </w:r>
      <w:r w:rsidRPr="007F1652">
        <w:rPr>
          <w:rFonts w:asciiTheme="minorHAnsi" w:hAnsiTheme="minorHAnsi"/>
        </w:rPr>
        <w:t>.gada perēkļu uzraudzība</w:t>
      </w:r>
    </w:p>
    <w:p w:rsidR="002838F2" w:rsidRPr="004E6BD8" w:rsidRDefault="002838F2" w:rsidP="00511419">
      <w:pPr>
        <w:pStyle w:val="BodyText"/>
        <w:spacing w:before="120"/>
        <w:ind w:firstLine="720"/>
        <w:rPr>
          <w:rFonts w:asciiTheme="minorHAnsi" w:hAnsiTheme="minorHAnsi"/>
          <w:sz w:val="24"/>
          <w:szCs w:val="24"/>
          <w:lang w:val="lv-LV"/>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362"/>
        <w:gridCol w:w="1210"/>
        <w:gridCol w:w="1434"/>
        <w:gridCol w:w="1725"/>
        <w:gridCol w:w="1501"/>
        <w:gridCol w:w="2102"/>
      </w:tblGrid>
      <w:tr w:rsidR="002838F2" w:rsidRPr="00376E4F" w:rsidTr="007F1652">
        <w:trPr>
          <w:jc w:val="center"/>
        </w:trPr>
        <w:tc>
          <w:tcPr>
            <w:tcW w:w="730"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Reģions</w:t>
            </w:r>
          </w:p>
        </w:tc>
        <w:tc>
          <w:tcPr>
            <w:tcW w:w="648"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Perēkļa gads</w:t>
            </w:r>
          </w:p>
        </w:tc>
        <w:tc>
          <w:tcPr>
            <w:tcW w:w="768"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Pārbaužu skaits</w:t>
            </w:r>
          </w:p>
        </w:tc>
        <w:tc>
          <w:tcPr>
            <w:tcW w:w="924"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Pārbaudīto vietu skaits </w:t>
            </w:r>
          </w:p>
        </w:tc>
        <w:tc>
          <w:tcPr>
            <w:tcW w:w="804"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r w:rsidRPr="00376E4F">
              <w:rPr>
                <w:rFonts w:asciiTheme="minorHAnsi" w:hAnsiTheme="minorHAnsi"/>
                <w:b/>
                <w:sz w:val="20"/>
                <w:szCs w:val="20"/>
              </w:rPr>
              <w:t>Noņemtie paraugi</w:t>
            </w:r>
          </w:p>
        </w:tc>
        <w:tc>
          <w:tcPr>
            <w:tcW w:w="1126" w:type="pct"/>
            <w:shd w:val="clear" w:color="auto" w:fill="auto"/>
          </w:tcPr>
          <w:p w:rsidR="002838F2" w:rsidRPr="00376E4F" w:rsidRDefault="002838F2" w:rsidP="007F1652">
            <w:pPr>
              <w:widowControl w:val="0"/>
              <w:spacing w:line="285" w:lineRule="auto"/>
              <w:jc w:val="center"/>
              <w:rPr>
                <w:rFonts w:asciiTheme="minorHAnsi" w:hAnsiTheme="minorHAnsi"/>
                <w:b/>
                <w:sz w:val="20"/>
                <w:szCs w:val="20"/>
              </w:rPr>
            </w:pPr>
            <w:proofErr w:type="spellStart"/>
            <w:r w:rsidRPr="00376E4F">
              <w:rPr>
                <w:rFonts w:asciiTheme="minorHAnsi" w:hAnsiTheme="minorHAnsi"/>
                <w:b/>
                <w:sz w:val="20"/>
                <w:szCs w:val="20"/>
              </w:rPr>
              <w:t>Erwinia</w:t>
            </w:r>
            <w:proofErr w:type="spellEnd"/>
            <w:r w:rsidRPr="00376E4F">
              <w:rPr>
                <w:rFonts w:asciiTheme="minorHAnsi" w:hAnsiTheme="minorHAnsi"/>
                <w:b/>
                <w:sz w:val="20"/>
                <w:szCs w:val="20"/>
              </w:rPr>
              <w:t xml:space="preserv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7F1652" w:rsidRPr="00376E4F" w:rsidTr="007F1652">
        <w:trPr>
          <w:jc w:val="center"/>
        </w:trPr>
        <w:tc>
          <w:tcPr>
            <w:tcW w:w="730" w:type="pct"/>
            <w:vMerge w:val="restart"/>
            <w:shd w:val="clear" w:color="auto" w:fill="auto"/>
            <w:vAlign w:val="center"/>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Zemgale</w:t>
            </w:r>
          </w:p>
        </w:tc>
        <w:tc>
          <w:tcPr>
            <w:tcW w:w="64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2010</w:t>
            </w:r>
          </w:p>
        </w:tc>
        <w:tc>
          <w:tcPr>
            <w:tcW w:w="768"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9</w:t>
            </w:r>
          </w:p>
        </w:tc>
        <w:tc>
          <w:tcPr>
            <w:tcW w:w="924"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804"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126"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730" w:type="pct"/>
            <w:vMerge/>
            <w:shd w:val="clear" w:color="auto" w:fill="auto"/>
          </w:tcPr>
          <w:p w:rsidR="007F1652" w:rsidRPr="00376E4F" w:rsidRDefault="007F1652" w:rsidP="007F1652">
            <w:pPr>
              <w:widowControl w:val="0"/>
              <w:spacing w:line="285" w:lineRule="auto"/>
              <w:jc w:val="center"/>
              <w:rPr>
                <w:rFonts w:asciiTheme="minorHAnsi" w:hAnsiTheme="minorHAnsi"/>
                <w:sz w:val="20"/>
                <w:szCs w:val="20"/>
              </w:rPr>
            </w:pPr>
          </w:p>
        </w:tc>
        <w:tc>
          <w:tcPr>
            <w:tcW w:w="64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2011</w:t>
            </w:r>
          </w:p>
        </w:tc>
        <w:tc>
          <w:tcPr>
            <w:tcW w:w="768"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924"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804"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c>
          <w:tcPr>
            <w:tcW w:w="1126"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7F1652" w:rsidRPr="00376E4F" w:rsidTr="007F1652">
        <w:trPr>
          <w:jc w:val="center"/>
        </w:trPr>
        <w:tc>
          <w:tcPr>
            <w:tcW w:w="1378" w:type="pct"/>
            <w:gridSpan w:val="2"/>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Kopā:</w:t>
            </w:r>
          </w:p>
        </w:tc>
        <w:tc>
          <w:tcPr>
            <w:tcW w:w="768" w:type="pct"/>
            <w:shd w:val="clear" w:color="auto" w:fill="auto"/>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Kopā:</w:t>
            </w:r>
          </w:p>
        </w:tc>
        <w:tc>
          <w:tcPr>
            <w:tcW w:w="924" w:type="pct"/>
            <w:shd w:val="clear" w:color="auto" w:fill="auto"/>
            <w:vAlign w:val="bottom"/>
          </w:tcPr>
          <w:p w:rsidR="007F1652" w:rsidRPr="00376E4F" w:rsidRDefault="003D2E84"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fldChar w:fldCharType="begin"/>
            </w:r>
            <w:r w:rsidR="007F1652" w:rsidRPr="00376E4F">
              <w:rPr>
                <w:rFonts w:asciiTheme="minorHAnsi" w:hAnsiTheme="minorHAnsi"/>
                <w:sz w:val="20"/>
                <w:szCs w:val="20"/>
              </w:rPr>
              <w:instrText xml:space="preserve"> =SUM(ABOVE) </w:instrText>
            </w:r>
            <w:r w:rsidRPr="00376E4F">
              <w:rPr>
                <w:rFonts w:asciiTheme="minorHAnsi" w:hAnsiTheme="minorHAnsi"/>
                <w:sz w:val="20"/>
                <w:szCs w:val="20"/>
              </w:rPr>
              <w:fldChar w:fldCharType="separate"/>
            </w:r>
            <w:r w:rsidR="007F1652" w:rsidRPr="00376E4F">
              <w:rPr>
                <w:rFonts w:asciiTheme="minorHAnsi" w:hAnsiTheme="minorHAnsi"/>
                <w:sz w:val="20"/>
                <w:szCs w:val="20"/>
              </w:rPr>
              <w:t>12</w:t>
            </w:r>
            <w:r w:rsidRPr="00376E4F">
              <w:rPr>
                <w:rFonts w:asciiTheme="minorHAnsi" w:hAnsiTheme="minorHAnsi"/>
                <w:sz w:val="20"/>
                <w:szCs w:val="20"/>
              </w:rPr>
              <w:fldChar w:fldCharType="end"/>
            </w:r>
          </w:p>
        </w:tc>
        <w:tc>
          <w:tcPr>
            <w:tcW w:w="804" w:type="pct"/>
            <w:shd w:val="clear" w:color="auto" w:fill="auto"/>
            <w:vAlign w:val="bottom"/>
          </w:tcPr>
          <w:p w:rsidR="007F1652" w:rsidRPr="00376E4F" w:rsidRDefault="007F1652"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t>4</w:t>
            </w:r>
          </w:p>
        </w:tc>
        <w:tc>
          <w:tcPr>
            <w:tcW w:w="1126" w:type="pct"/>
            <w:shd w:val="clear" w:color="auto" w:fill="auto"/>
            <w:vAlign w:val="bottom"/>
          </w:tcPr>
          <w:p w:rsidR="007F1652" w:rsidRPr="00376E4F" w:rsidRDefault="003D2E84" w:rsidP="007F1652">
            <w:pPr>
              <w:widowControl w:val="0"/>
              <w:spacing w:line="285" w:lineRule="auto"/>
              <w:jc w:val="center"/>
              <w:rPr>
                <w:rFonts w:asciiTheme="minorHAnsi" w:hAnsiTheme="minorHAnsi"/>
                <w:sz w:val="20"/>
                <w:szCs w:val="20"/>
              </w:rPr>
            </w:pPr>
            <w:r w:rsidRPr="00376E4F">
              <w:rPr>
                <w:rFonts w:asciiTheme="minorHAnsi" w:hAnsiTheme="minorHAnsi"/>
                <w:sz w:val="20"/>
                <w:szCs w:val="20"/>
              </w:rPr>
              <w:fldChar w:fldCharType="begin"/>
            </w:r>
            <w:r w:rsidR="007F1652" w:rsidRPr="00376E4F">
              <w:rPr>
                <w:rFonts w:asciiTheme="minorHAnsi" w:hAnsiTheme="minorHAnsi"/>
                <w:sz w:val="20"/>
                <w:szCs w:val="20"/>
              </w:rPr>
              <w:instrText xml:space="preserve"> =SUM(ABOVE) </w:instrText>
            </w:r>
            <w:r w:rsidRPr="00376E4F">
              <w:rPr>
                <w:rFonts w:asciiTheme="minorHAnsi" w:hAnsiTheme="minorHAnsi"/>
                <w:sz w:val="20"/>
                <w:szCs w:val="20"/>
              </w:rPr>
              <w:fldChar w:fldCharType="separate"/>
            </w:r>
            <w:r w:rsidR="007F1652" w:rsidRPr="00376E4F">
              <w:rPr>
                <w:rFonts w:asciiTheme="minorHAnsi" w:hAnsiTheme="minorHAnsi"/>
                <w:sz w:val="20"/>
                <w:szCs w:val="20"/>
              </w:rPr>
              <w:t>9</w:t>
            </w:r>
            <w:r w:rsidRPr="00376E4F">
              <w:rPr>
                <w:rFonts w:asciiTheme="minorHAnsi" w:hAnsiTheme="minorHAnsi"/>
                <w:sz w:val="20"/>
                <w:szCs w:val="20"/>
              </w:rPr>
              <w:fldChar w:fldCharType="end"/>
            </w:r>
          </w:p>
        </w:tc>
      </w:tr>
    </w:tbl>
    <w:p w:rsidR="002838F2" w:rsidRPr="004E6BD8" w:rsidRDefault="002838F2" w:rsidP="00511419">
      <w:pPr>
        <w:spacing w:before="120"/>
        <w:ind w:firstLine="600"/>
        <w:jc w:val="both"/>
        <w:rPr>
          <w:rFonts w:asciiTheme="minorHAnsi" w:hAnsiTheme="minorHAnsi"/>
        </w:rPr>
      </w:pPr>
    </w:p>
    <w:p w:rsidR="002838F2" w:rsidRPr="0037600B" w:rsidRDefault="0037600B" w:rsidP="0037600B">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 xml:space="preserve">Pārbaudes perēkļu </w:t>
      </w:r>
      <w:proofErr w:type="spellStart"/>
      <w:r>
        <w:rPr>
          <w:rFonts w:asciiTheme="minorHAnsi" w:hAnsiTheme="minorHAnsi"/>
          <w:sz w:val="28"/>
        </w:rPr>
        <w:t>buferzonās</w:t>
      </w:r>
      <w:proofErr w:type="spellEnd"/>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Nosakot inficēto saimniekaugu vietu par perēkli, nosaka arī buferzonu ap to, kas ir ar 3 km rādiusu. Buferzonā veic apsekojums, kuru laikā pārbauda bakteriālo iedegu saimniekaugus. Katrā buferzonā veic 5 pārbaudes mēnesī no jūnija sākuma līdz augusta beigām Ja netiek konstatēti bakteriālo iedegu simptomi, paraugi netiek ņemti.</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 xml:space="preserve">Pārbaudē obligāti ietver 1km rādiusā no perēkļa esošos ražojošos dārzus, stādaudzētavas un </w:t>
      </w:r>
      <w:proofErr w:type="spellStart"/>
      <w:r w:rsidRPr="00360E70">
        <w:rPr>
          <w:rFonts w:asciiTheme="minorHAnsi" w:hAnsiTheme="minorHAnsi"/>
        </w:rPr>
        <w:t>komercdārzus</w:t>
      </w:r>
      <w:proofErr w:type="spellEnd"/>
      <w:r w:rsidRPr="00360E70">
        <w:rPr>
          <w:rFonts w:asciiTheme="minorHAnsi" w:hAnsiTheme="minorHAnsi"/>
        </w:rPr>
        <w:t>. Izvēloties pārbaudes vietas, ņem vērā valdošo vēju virzienu.</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 xml:space="preserve">Kopumā </w:t>
      </w:r>
      <w:proofErr w:type="spellStart"/>
      <w:r w:rsidRPr="00360E70">
        <w:rPr>
          <w:rFonts w:asciiTheme="minorHAnsi" w:hAnsiTheme="minorHAnsi"/>
        </w:rPr>
        <w:t>buferzonās</w:t>
      </w:r>
      <w:proofErr w:type="spellEnd"/>
      <w:r w:rsidRPr="00360E70">
        <w:rPr>
          <w:rFonts w:asciiTheme="minorHAnsi" w:hAnsiTheme="minorHAnsi"/>
        </w:rPr>
        <w:t xml:space="preserve"> veiktas 61 pārbaude, kuru laikā pārbaudītas 59 saimniekaugu augšanas vietas. Noņemti 2 paraugi, slimība netika konstatēta.</w:t>
      </w:r>
    </w:p>
    <w:p w:rsidR="002838F2" w:rsidRPr="004E6BD8" w:rsidRDefault="002838F2" w:rsidP="00511419">
      <w:pPr>
        <w:pStyle w:val="BodyText"/>
        <w:spacing w:before="120"/>
        <w:ind w:firstLine="720"/>
        <w:rPr>
          <w:rFonts w:asciiTheme="minorHAnsi" w:hAnsiTheme="minorHAnsi"/>
          <w:sz w:val="24"/>
          <w:szCs w:val="24"/>
          <w:lang w:val="lv-LV"/>
        </w:rPr>
      </w:pPr>
    </w:p>
    <w:p w:rsidR="002838F2" w:rsidRDefault="0037600B" w:rsidP="0037600B">
      <w:pPr>
        <w:shd w:val="clear" w:color="auto" w:fill="DAEEF3" w:themeFill="accent5" w:themeFillTint="33"/>
        <w:jc w:val="both"/>
        <w:rPr>
          <w:rFonts w:asciiTheme="minorHAnsi" w:hAnsiTheme="minorHAnsi"/>
        </w:rPr>
      </w:pPr>
      <w:r>
        <w:rPr>
          <w:rFonts w:asciiTheme="minorHAnsi" w:hAnsiTheme="minorHAnsi"/>
        </w:rPr>
        <w:t>Buferzonu pārbaužu rezultāti</w:t>
      </w:r>
    </w:p>
    <w:p w:rsidR="0037600B" w:rsidRPr="0037600B" w:rsidRDefault="0037600B" w:rsidP="0037600B">
      <w:pPr>
        <w:shd w:val="clear" w:color="auto" w:fill="FFFFFF" w:themeFill="background1"/>
        <w:jc w:val="both"/>
        <w:rPr>
          <w:rFonts w:asciiTheme="minorHAnsi" w:hAnsiTheme="minorHAnsi"/>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579"/>
        <w:gridCol w:w="1671"/>
        <w:gridCol w:w="2022"/>
        <w:gridCol w:w="1671"/>
        <w:gridCol w:w="2391"/>
      </w:tblGrid>
      <w:tr w:rsidR="002838F2" w:rsidRPr="00376E4F" w:rsidTr="0037600B">
        <w:trPr>
          <w:jc w:val="center"/>
        </w:trPr>
        <w:tc>
          <w:tcPr>
            <w:tcW w:w="846" w:type="pct"/>
            <w:shd w:val="clear" w:color="auto" w:fill="auto"/>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t>Reģions</w:t>
            </w:r>
          </w:p>
        </w:tc>
        <w:tc>
          <w:tcPr>
            <w:tcW w:w="895" w:type="pct"/>
            <w:shd w:val="clear" w:color="auto" w:fill="auto"/>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Pārbaužu skaits</w:t>
            </w:r>
          </w:p>
        </w:tc>
        <w:tc>
          <w:tcPr>
            <w:tcW w:w="1083" w:type="pct"/>
            <w:shd w:val="clear" w:color="auto" w:fill="auto"/>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Pārbaudīto vietu </w:t>
            </w:r>
            <w:r w:rsidRPr="00376E4F">
              <w:rPr>
                <w:rFonts w:asciiTheme="minorHAnsi" w:hAnsiTheme="minorHAnsi"/>
                <w:b/>
                <w:sz w:val="20"/>
                <w:szCs w:val="20"/>
              </w:rPr>
              <w:lastRenderedPageBreak/>
              <w:t>skaits</w:t>
            </w:r>
          </w:p>
        </w:tc>
        <w:tc>
          <w:tcPr>
            <w:tcW w:w="895" w:type="pct"/>
            <w:shd w:val="clear" w:color="auto" w:fill="auto"/>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lastRenderedPageBreak/>
              <w:t xml:space="preserve">Noņemtie </w:t>
            </w:r>
            <w:r w:rsidRPr="00376E4F">
              <w:rPr>
                <w:rFonts w:asciiTheme="minorHAnsi" w:hAnsiTheme="minorHAnsi"/>
                <w:b/>
                <w:sz w:val="20"/>
                <w:szCs w:val="20"/>
              </w:rPr>
              <w:lastRenderedPageBreak/>
              <w:t>paraugi</w:t>
            </w:r>
          </w:p>
        </w:tc>
        <w:tc>
          <w:tcPr>
            <w:tcW w:w="1281" w:type="pct"/>
            <w:shd w:val="clear" w:color="auto" w:fill="auto"/>
          </w:tcPr>
          <w:p w:rsidR="002838F2" w:rsidRPr="00376E4F" w:rsidRDefault="002838F2" w:rsidP="0037600B">
            <w:pPr>
              <w:widowControl w:val="0"/>
              <w:spacing w:line="285" w:lineRule="auto"/>
              <w:jc w:val="center"/>
              <w:rPr>
                <w:rFonts w:asciiTheme="minorHAnsi" w:hAnsiTheme="minorHAnsi"/>
                <w:b/>
                <w:sz w:val="20"/>
                <w:szCs w:val="20"/>
              </w:rPr>
            </w:pPr>
            <w:proofErr w:type="spellStart"/>
            <w:r w:rsidRPr="00376E4F">
              <w:rPr>
                <w:rFonts w:asciiTheme="minorHAnsi" w:hAnsiTheme="minorHAnsi"/>
                <w:b/>
                <w:sz w:val="20"/>
                <w:szCs w:val="20"/>
              </w:rPr>
              <w:lastRenderedPageBreak/>
              <w:t>Erwinia</w:t>
            </w:r>
            <w:proofErr w:type="spellEnd"/>
            <w:r w:rsidRPr="00376E4F">
              <w:rPr>
                <w:rFonts w:asciiTheme="minorHAnsi" w:hAnsiTheme="minorHAnsi"/>
                <w:b/>
                <w:sz w:val="20"/>
                <w:szCs w:val="20"/>
              </w:rPr>
              <w:t xml:space="preserv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w:t>
            </w:r>
            <w:r w:rsidRPr="00376E4F">
              <w:rPr>
                <w:rFonts w:asciiTheme="minorHAnsi" w:hAnsiTheme="minorHAnsi"/>
                <w:b/>
                <w:sz w:val="20"/>
                <w:szCs w:val="20"/>
              </w:rPr>
              <w:lastRenderedPageBreak/>
              <w:t>pozitīvie paraugi</w:t>
            </w:r>
          </w:p>
        </w:tc>
      </w:tr>
      <w:tr w:rsidR="0037600B" w:rsidRPr="00376E4F" w:rsidTr="0037600B">
        <w:trPr>
          <w:jc w:val="center"/>
        </w:trPr>
        <w:tc>
          <w:tcPr>
            <w:tcW w:w="846" w:type="pct"/>
            <w:shd w:val="clear" w:color="auto" w:fill="auto"/>
            <w:vAlign w:val="center"/>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lastRenderedPageBreak/>
              <w:t>Zemgale</w:t>
            </w:r>
          </w:p>
        </w:tc>
        <w:tc>
          <w:tcPr>
            <w:tcW w:w="895" w:type="pct"/>
            <w:shd w:val="clear" w:color="auto" w:fill="auto"/>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61</w:t>
            </w:r>
          </w:p>
        </w:tc>
        <w:tc>
          <w:tcPr>
            <w:tcW w:w="1083" w:type="pct"/>
            <w:shd w:val="clear" w:color="auto" w:fill="auto"/>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59</w:t>
            </w:r>
          </w:p>
        </w:tc>
        <w:tc>
          <w:tcPr>
            <w:tcW w:w="895" w:type="pct"/>
            <w:shd w:val="clear" w:color="auto" w:fill="auto"/>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281" w:type="pct"/>
            <w:shd w:val="clear" w:color="auto" w:fill="auto"/>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bl>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2012.gada veģetācijas periodā bakteriālo iedegu diagnosticēšanai kopā noņemti 416 paraugi laboratoriskām analīzēm. Izplatītākie saimniekaugi, no kuriem ņemti paraugi, ir ābeles (175), bumbieres (91 paraugs) un vilkābeles (44 paraugi).</w:t>
      </w:r>
    </w:p>
    <w:p w:rsidR="002838F2" w:rsidRPr="004E6BD8" w:rsidRDefault="002838F2" w:rsidP="00511419">
      <w:pPr>
        <w:spacing w:before="120"/>
        <w:ind w:firstLine="600"/>
        <w:jc w:val="both"/>
        <w:rPr>
          <w:rFonts w:asciiTheme="minorHAnsi" w:hAnsiTheme="minorHAnsi"/>
        </w:rPr>
      </w:pPr>
    </w:p>
    <w:p w:rsidR="002838F2" w:rsidRDefault="002838F2" w:rsidP="0037600B">
      <w:pPr>
        <w:shd w:val="clear" w:color="auto" w:fill="DAEEF3" w:themeFill="accent5" w:themeFillTint="33"/>
        <w:jc w:val="both"/>
        <w:rPr>
          <w:rFonts w:asciiTheme="minorHAnsi" w:hAnsiTheme="minorHAnsi"/>
        </w:rPr>
      </w:pPr>
      <w:proofErr w:type="spellStart"/>
      <w:r w:rsidRPr="0037600B">
        <w:rPr>
          <w:rFonts w:asciiTheme="minorHAnsi" w:hAnsiTheme="minorHAnsi"/>
        </w:rPr>
        <w:t>Erwinia</w:t>
      </w:r>
      <w:proofErr w:type="spellEnd"/>
      <w:r w:rsidRPr="0037600B">
        <w:rPr>
          <w:rFonts w:asciiTheme="minorHAnsi" w:hAnsiTheme="minorHAnsi"/>
        </w:rPr>
        <w:t xml:space="preserve"> </w:t>
      </w:r>
      <w:proofErr w:type="spellStart"/>
      <w:r w:rsidRPr="0037600B">
        <w:rPr>
          <w:rFonts w:asciiTheme="minorHAnsi" w:hAnsiTheme="minorHAnsi"/>
        </w:rPr>
        <w:t>amylovora</w:t>
      </w:r>
      <w:proofErr w:type="spellEnd"/>
      <w:r w:rsidRPr="0037600B">
        <w:rPr>
          <w:rFonts w:asciiTheme="minorHAnsi" w:hAnsiTheme="minorHAnsi"/>
        </w:rPr>
        <w:t xml:space="preserve"> noņemto paraugu statistika</w:t>
      </w:r>
    </w:p>
    <w:p w:rsidR="0037600B" w:rsidRPr="0037600B" w:rsidRDefault="0037600B" w:rsidP="0037600B">
      <w:pPr>
        <w:shd w:val="clear" w:color="auto" w:fill="FFFFFF" w:themeFill="background1"/>
        <w:jc w:val="both"/>
        <w:rPr>
          <w:rFonts w:asciiTheme="minorHAnsi" w:hAnsiTheme="minorHAnsi"/>
        </w:rPr>
      </w:pPr>
    </w:p>
    <w:tbl>
      <w:tblPr>
        <w:tblW w:w="5000" w:type="pct"/>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000" w:firstRow="0" w:lastRow="0" w:firstColumn="0" w:lastColumn="0" w:noHBand="0" w:noVBand="0"/>
      </w:tblPr>
      <w:tblGrid>
        <w:gridCol w:w="4383"/>
        <w:gridCol w:w="2832"/>
        <w:gridCol w:w="2119"/>
      </w:tblGrid>
      <w:tr w:rsidR="002838F2" w:rsidRPr="00376E4F" w:rsidTr="0037600B">
        <w:trPr>
          <w:trHeight w:val="645"/>
          <w:jc w:val="center"/>
        </w:trPr>
        <w:tc>
          <w:tcPr>
            <w:tcW w:w="2348" w:type="pct"/>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Pārbaudītie saimniekaugi (sugas)</w:t>
            </w:r>
          </w:p>
        </w:tc>
        <w:tc>
          <w:tcPr>
            <w:tcW w:w="1517" w:type="pct"/>
          </w:tcPr>
          <w:p w:rsidR="002838F2" w:rsidRPr="00376E4F" w:rsidRDefault="002838F2" w:rsidP="0037600B">
            <w:pPr>
              <w:widowControl w:val="0"/>
              <w:spacing w:line="285" w:lineRule="auto"/>
              <w:jc w:val="center"/>
              <w:rPr>
                <w:rFonts w:asciiTheme="minorHAnsi" w:hAnsiTheme="minorHAnsi"/>
                <w:b/>
                <w:sz w:val="20"/>
                <w:szCs w:val="20"/>
              </w:rPr>
            </w:pPr>
            <w:r w:rsidRPr="00376E4F">
              <w:rPr>
                <w:rFonts w:asciiTheme="minorHAnsi" w:hAnsiTheme="minorHAnsi"/>
                <w:b/>
                <w:sz w:val="20"/>
                <w:szCs w:val="20"/>
              </w:rPr>
              <w:t>Noņemtie un testētie paraugi</w:t>
            </w:r>
          </w:p>
        </w:tc>
        <w:tc>
          <w:tcPr>
            <w:tcW w:w="1135" w:type="pct"/>
          </w:tcPr>
          <w:p w:rsidR="002838F2" w:rsidRPr="00376E4F" w:rsidRDefault="002838F2" w:rsidP="0037600B">
            <w:pPr>
              <w:widowControl w:val="0"/>
              <w:spacing w:line="285" w:lineRule="auto"/>
              <w:jc w:val="center"/>
              <w:rPr>
                <w:rFonts w:asciiTheme="minorHAnsi" w:hAnsiTheme="minorHAnsi"/>
                <w:b/>
                <w:sz w:val="20"/>
                <w:szCs w:val="20"/>
              </w:rPr>
            </w:pPr>
            <w:proofErr w:type="spellStart"/>
            <w:r w:rsidRPr="00376E4F">
              <w:rPr>
                <w:rFonts w:asciiTheme="minorHAnsi" w:hAnsiTheme="minorHAnsi"/>
                <w:b/>
                <w:sz w:val="20"/>
                <w:szCs w:val="20"/>
              </w:rPr>
              <w:t>Erwinia</w:t>
            </w:r>
            <w:proofErr w:type="spellEnd"/>
            <w:r w:rsidRPr="00376E4F">
              <w:rPr>
                <w:rFonts w:asciiTheme="minorHAnsi" w:hAnsiTheme="minorHAnsi"/>
                <w:b/>
                <w:sz w:val="20"/>
                <w:szCs w:val="20"/>
              </w:rPr>
              <w:t xml:space="preserve"> </w:t>
            </w:r>
            <w:proofErr w:type="spellStart"/>
            <w:r w:rsidRPr="00376E4F">
              <w:rPr>
                <w:rFonts w:asciiTheme="minorHAnsi" w:hAnsiTheme="minorHAnsi"/>
                <w:b/>
                <w:sz w:val="20"/>
                <w:szCs w:val="20"/>
              </w:rPr>
              <w:t>amylovora</w:t>
            </w:r>
            <w:proofErr w:type="spellEnd"/>
            <w:r w:rsidRPr="00376E4F">
              <w:rPr>
                <w:rFonts w:asciiTheme="minorHAnsi" w:hAnsiTheme="minorHAnsi"/>
                <w:b/>
                <w:sz w:val="20"/>
                <w:szCs w:val="20"/>
              </w:rPr>
              <w:t xml:space="preserve"> pozitīvie paraugi</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 xml:space="preserve">Ābeles </w:t>
            </w:r>
            <w:proofErr w:type="spellStart"/>
            <w:r w:rsidRPr="00376E4F">
              <w:rPr>
                <w:rFonts w:asciiTheme="minorHAnsi" w:hAnsiTheme="minorHAnsi"/>
                <w:sz w:val="20"/>
                <w:szCs w:val="20"/>
              </w:rPr>
              <w:t>Malus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Mill</w:t>
            </w:r>
            <w:proofErr w:type="spellEnd"/>
            <w:r w:rsidRPr="00376E4F">
              <w:rPr>
                <w:rFonts w:asciiTheme="minorHAnsi" w:hAnsiTheme="minorHAnsi"/>
                <w:sz w:val="20"/>
                <w:szCs w:val="20"/>
              </w:rPr>
              <w:t>.</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175</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 xml:space="preserve">Bumbieres </w:t>
            </w:r>
            <w:proofErr w:type="spellStart"/>
            <w:r w:rsidRPr="00376E4F">
              <w:rPr>
                <w:rFonts w:asciiTheme="minorHAnsi" w:hAnsiTheme="minorHAnsi"/>
                <w:sz w:val="20"/>
                <w:szCs w:val="20"/>
              </w:rPr>
              <w:t>Pyrus</w:t>
            </w:r>
            <w:proofErr w:type="spellEnd"/>
            <w:r w:rsidRPr="00376E4F">
              <w:rPr>
                <w:rFonts w:asciiTheme="minorHAnsi" w:hAnsiTheme="minorHAnsi"/>
                <w:sz w:val="20"/>
                <w:szCs w:val="20"/>
              </w:rPr>
              <w:t xml:space="preserve"> L</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91</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 xml:space="preserve">Vilkābeles </w:t>
            </w:r>
            <w:proofErr w:type="spellStart"/>
            <w:r w:rsidRPr="00376E4F">
              <w:rPr>
                <w:rFonts w:asciiTheme="minorHAnsi" w:hAnsiTheme="minorHAnsi"/>
                <w:sz w:val="20"/>
                <w:szCs w:val="20"/>
              </w:rPr>
              <w:t>Crataegus</w:t>
            </w:r>
            <w:proofErr w:type="spellEnd"/>
            <w:r w:rsidRPr="00376E4F">
              <w:rPr>
                <w:rFonts w:asciiTheme="minorHAnsi" w:hAnsiTheme="minorHAnsi"/>
                <w:sz w:val="20"/>
                <w:szCs w:val="20"/>
              </w:rPr>
              <w:t xml:space="preserve"> L.</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44</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Pīlādži Sorbus L.</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42</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Klintenes</w:t>
            </w:r>
          </w:p>
          <w:p w:rsidR="0037600B" w:rsidRPr="00376E4F" w:rsidRDefault="0037600B" w:rsidP="0037600B">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Cotoneaster</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Medik</w:t>
            </w:r>
            <w:proofErr w:type="spellEnd"/>
            <w:r w:rsidRPr="00376E4F">
              <w:rPr>
                <w:rFonts w:asciiTheme="minorHAnsi" w:hAnsiTheme="minorHAnsi"/>
                <w:sz w:val="20"/>
                <w:szCs w:val="20"/>
              </w:rPr>
              <w:t>.</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32</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 xml:space="preserve">Krūmcidonijas </w:t>
            </w:r>
            <w:proofErr w:type="spellStart"/>
            <w:r w:rsidRPr="00376E4F">
              <w:rPr>
                <w:rFonts w:asciiTheme="minorHAnsi" w:hAnsiTheme="minorHAnsi"/>
                <w:sz w:val="20"/>
                <w:szCs w:val="20"/>
              </w:rPr>
              <w:t>ChaenomelesLindl</w:t>
            </w:r>
            <w:proofErr w:type="spellEnd"/>
            <w:r w:rsidRPr="00376E4F">
              <w:rPr>
                <w:rFonts w:asciiTheme="minorHAnsi" w:hAnsiTheme="minorHAnsi"/>
                <w:sz w:val="20"/>
                <w:szCs w:val="20"/>
              </w:rPr>
              <w:t>.</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19</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 xml:space="preserve">Korintes </w:t>
            </w:r>
            <w:proofErr w:type="spellStart"/>
            <w:r w:rsidRPr="00376E4F">
              <w:rPr>
                <w:rFonts w:asciiTheme="minorHAnsi" w:hAnsiTheme="minorHAnsi"/>
                <w:sz w:val="20"/>
                <w:szCs w:val="20"/>
              </w:rPr>
              <w:t>Amelanchier</w:t>
            </w:r>
            <w:proofErr w:type="spellEnd"/>
            <w:r w:rsidRPr="00376E4F">
              <w:rPr>
                <w:rFonts w:asciiTheme="minorHAnsi" w:hAnsiTheme="minorHAnsi"/>
                <w:sz w:val="20"/>
                <w:szCs w:val="20"/>
              </w:rPr>
              <w:t xml:space="preserve"> Med.</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12</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Ugunsērkšķi</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pirakantas</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Pyracantha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M.Roem</w:t>
            </w:r>
            <w:proofErr w:type="spellEnd"/>
            <w:r w:rsidRPr="00376E4F">
              <w:rPr>
                <w:rFonts w:asciiTheme="minorHAnsi" w:hAnsiTheme="minorHAnsi"/>
                <w:sz w:val="20"/>
                <w:szCs w:val="20"/>
              </w:rPr>
              <w:t>.</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r w:rsidR="0037600B" w:rsidRPr="00376E4F" w:rsidTr="0037600B">
        <w:trPr>
          <w:trHeight w:val="50"/>
          <w:jc w:val="center"/>
        </w:trPr>
        <w:tc>
          <w:tcPr>
            <w:tcW w:w="2348" w:type="pct"/>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Kopā:</w:t>
            </w:r>
          </w:p>
        </w:tc>
        <w:tc>
          <w:tcPr>
            <w:tcW w:w="1517"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416</w:t>
            </w:r>
          </w:p>
        </w:tc>
        <w:tc>
          <w:tcPr>
            <w:tcW w:w="1135" w:type="pct"/>
          </w:tcPr>
          <w:p w:rsidR="0037600B" w:rsidRPr="00376E4F" w:rsidRDefault="0037600B" w:rsidP="0037600B">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r>
    </w:tbl>
    <w:p w:rsidR="0037600B" w:rsidRDefault="0037600B" w:rsidP="0037600B">
      <w:pPr>
        <w:widowControl w:val="0"/>
        <w:spacing w:before="120"/>
        <w:jc w:val="both"/>
        <w:rPr>
          <w:rFonts w:asciiTheme="minorHAnsi" w:hAnsiTheme="minorHAnsi"/>
        </w:rPr>
      </w:pPr>
      <w:r w:rsidRPr="00360E70">
        <w:rPr>
          <w:rFonts w:asciiTheme="minorHAnsi" w:hAnsiTheme="minorHAnsi"/>
        </w:rPr>
        <w:t>2012.gadā bakteriālās iedegas nav konstatētas. Tādējādi var teikt, ka piemērotie fitosanitārie pasākumi ir bijuši pietiekami stingri un ļāvuši apturēt slimības tālāko izplatību. Arī laika apstākļi 2012.gadā nebija īsti piemēroti bakteriālās iedegas attīstībai. Protams, viena gada rezultāti nav pietiekami, lai varētu teikt, ka izdevies šo slimību apkarot. Slimība ir ‘viltīga’, jo tai raksturīga slēptā jeb latentā forma, kad vizuālās pazīmes nav redzamas, lai gan baktērija jau iekļuvusi augā. Citu valstu pieredze rāda, ka bakteriālās iedegas uzliesmojumi atkārtojas periodiski pēc 7-10 gadiem. Tādējādi par patieso situāciju varēsim spriest tikai pēc vairākiem gadiem</w:t>
      </w:r>
      <w:r w:rsidR="00492254">
        <w:rPr>
          <w:rFonts w:asciiTheme="minorHAnsi" w:hAnsiTheme="minorHAnsi"/>
        </w:rPr>
        <w:t>.</w:t>
      </w:r>
    </w:p>
    <w:p w:rsidR="00492254" w:rsidRPr="00360E70" w:rsidRDefault="00492254" w:rsidP="0037600B">
      <w:pPr>
        <w:widowControl w:val="0"/>
        <w:spacing w:before="120"/>
        <w:jc w:val="both"/>
        <w:rPr>
          <w:rFonts w:asciiTheme="minorHAnsi" w:hAnsiTheme="minorHAnsi"/>
        </w:rPr>
      </w:pPr>
    </w:p>
    <w:p w:rsidR="002838F2" w:rsidRPr="0037600B" w:rsidRDefault="00492254" w:rsidP="0037600B">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 xml:space="preserve">4.2.3. </w:t>
      </w:r>
      <w:r w:rsidR="002838F2" w:rsidRPr="0037600B">
        <w:rPr>
          <w:rFonts w:asciiTheme="minorHAnsi" w:hAnsiTheme="minorHAnsi"/>
          <w:sz w:val="28"/>
        </w:rPr>
        <w:t>Pasākumi priežu koksnes nematodes ieviešanās novēršanai</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 xml:space="preserve">Eiropas Savienībā priežu koksnes nematode ierobežošanas pasākumi izplatības vietās nav devuši vēlamos rezultātus. Portugālē par </w:t>
      </w:r>
      <w:proofErr w:type="spellStart"/>
      <w:r w:rsidRPr="00360E70">
        <w:rPr>
          <w:rFonts w:asciiTheme="minorHAnsi" w:hAnsiTheme="minorHAnsi"/>
        </w:rPr>
        <w:t>invadētu</w:t>
      </w:r>
      <w:proofErr w:type="spellEnd"/>
      <w:r w:rsidRPr="00360E70">
        <w:rPr>
          <w:rFonts w:asciiTheme="minorHAnsi" w:hAnsiTheme="minorHAnsi"/>
        </w:rPr>
        <w:t xml:space="preserve"> var uzskatīt visu valsts teritoriju un iespējas karantīnas organismu izskaust nav reālas. Priežu koksnes nematode konstatēta arī Spānijā – Portugāles pierobežā, tomēr ātru un kvalitatīvu fitosanitāro pasākumu izpilde pagaidām ir novērsusi tālāku nematodes izplatību.</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 xml:space="preserve">Lai novērstu priežu koksnes nematodes ieviešanos Latvijā, </w:t>
      </w:r>
      <w:r w:rsidR="00DB586F">
        <w:rPr>
          <w:rFonts w:asciiTheme="minorHAnsi" w:hAnsiTheme="minorHAnsi"/>
        </w:rPr>
        <w:t>VAAD</w:t>
      </w:r>
      <w:r w:rsidRPr="00360E70">
        <w:rPr>
          <w:rFonts w:asciiTheme="minorHAnsi" w:hAnsiTheme="minorHAnsi"/>
        </w:rPr>
        <w:t xml:space="preserve"> jau kopš 2001.gada regulāri veic skujkoku pārbaudes mežaudzēs, pārbauda vietējās izcelsmes zāģmateriālus, kā arī no trešajām valstīm ievesto koksni un koksnes iepakojamo materiālu (turpmāk – </w:t>
      </w:r>
      <w:proofErr w:type="spellStart"/>
      <w:r w:rsidRPr="00360E70">
        <w:rPr>
          <w:rFonts w:asciiTheme="minorHAnsi" w:hAnsiTheme="minorHAnsi"/>
        </w:rPr>
        <w:t>KIeM</w:t>
      </w:r>
      <w:proofErr w:type="spellEnd"/>
      <w:r w:rsidRPr="00360E70">
        <w:rPr>
          <w:rFonts w:asciiTheme="minorHAnsi" w:hAnsiTheme="minorHAnsi"/>
        </w:rPr>
        <w:t xml:space="preserve">). Turpinājās no Portugāles ievestā </w:t>
      </w:r>
      <w:proofErr w:type="spellStart"/>
      <w:r w:rsidRPr="00360E70">
        <w:rPr>
          <w:rFonts w:asciiTheme="minorHAnsi" w:hAnsiTheme="minorHAnsi"/>
        </w:rPr>
        <w:t>KIeM</w:t>
      </w:r>
      <w:proofErr w:type="spellEnd"/>
      <w:r w:rsidRPr="00360E70">
        <w:rPr>
          <w:rFonts w:asciiTheme="minorHAnsi" w:hAnsiTheme="minorHAnsi"/>
        </w:rPr>
        <w:t xml:space="preserve"> pārbaudes un paraugu noņemšana. Grūtības sagādā brīvais tirgus starp dalībvalstīm, tādejādi liedzot iespēju pārbaudīt kravas uz dalībvalstu robežām. Taču sadarbojoties ar LR Centrālā statistikas pārvaldi un uzņēmumiem, kas ieved produkciju no attiecīgām valstīm, pārbaudes varēja notikt.</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 xml:space="preserve">Bez jau iepriekš minētajām pārbaudēm, 2012.gadā pārbaudes veiktas arī riska zonās – mežaudzēs vai atsevišķi augošos saimniekaugos robežkontroles punktu tuvumā, teritorijās ap </w:t>
      </w:r>
      <w:r w:rsidRPr="00360E70">
        <w:rPr>
          <w:rFonts w:asciiTheme="minorHAnsi" w:hAnsiTheme="minorHAnsi"/>
        </w:rPr>
        <w:lastRenderedPageBreak/>
        <w:t xml:space="preserve">vietām, kur ieved Latvijas prasībām neatbilstošo koka iepakojamo materiālu iznīcināšanai, teritorijās ap lielām vairumtirdzniecības bāzēm, Rīgas lidostu, ostām, teritorijās ap zāģētavām, kur ieved pārstrāde koksni no Krievijas, t.i. vietās ar paaugstinātu risku ievest </w:t>
      </w:r>
      <w:proofErr w:type="spellStart"/>
      <w:r w:rsidRPr="00360E70">
        <w:rPr>
          <w:rFonts w:asciiTheme="minorHAnsi" w:hAnsiTheme="minorHAnsi"/>
        </w:rPr>
        <w:t>invadētu</w:t>
      </w:r>
      <w:proofErr w:type="spellEnd"/>
      <w:r w:rsidRPr="00360E70">
        <w:rPr>
          <w:rFonts w:asciiTheme="minorHAnsi" w:hAnsiTheme="minorHAnsi"/>
        </w:rPr>
        <w:t xml:space="preserve"> materiālam un tādējādi kur vispirms būtu iespējams konstatēt PKN.</w:t>
      </w:r>
    </w:p>
    <w:p w:rsidR="0037600B" w:rsidRPr="00360E70" w:rsidRDefault="0037600B" w:rsidP="0037600B">
      <w:pPr>
        <w:widowControl w:val="0"/>
        <w:spacing w:before="120"/>
        <w:jc w:val="both"/>
        <w:rPr>
          <w:rFonts w:asciiTheme="minorHAnsi" w:hAnsiTheme="minorHAnsi"/>
        </w:rPr>
      </w:pPr>
      <w:r w:rsidRPr="00360E70">
        <w:rPr>
          <w:rFonts w:asciiTheme="minorHAnsi" w:hAnsiTheme="minorHAnsi"/>
        </w:rPr>
        <w:t>Kopā PKN konstatēšanai veiktas šādas pārbaudes:</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mežaudzēs augošiem kokiem 102 pārbaudēs noņemti 107 paraugi;</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Latvijas izcelsmes zāģmateriāliem 53 pārbaudēs noņemts 54 paraugs;</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trešo valstu izcelsmes zāģmateriāliem 3 pārbaudēs noņemti 2 paraugi;</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Portugāles izcelsmes koksnes iepakojamam materiālam veiktas 7 pārbaudes un noņemti 6 paraugi;</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45 pārbaudes un noņemti 13 paraugi riska zonās;</w:t>
      </w:r>
    </w:p>
    <w:p w:rsidR="0037600B" w:rsidRPr="0037600B" w:rsidRDefault="0037600B" w:rsidP="001234C1">
      <w:pPr>
        <w:pStyle w:val="ListParagraph"/>
        <w:widowControl w:val="0"/>
        <w:numPr>
          <w:ilvl w:val="0"/>
          <w:numId w:val="13"/>
        </w:numPr>
        <w:tabs>
          <w:tab w:val="num" w:pos="1080"/>
        </w:tabs>
        <w:spacing w:before="120"/>
        <w:jc w:val="both"/>
        <w:rPr>
          <w:rFonts w:asciiTheme="minorHAnsi" w:hAnsiTheme="minorHAnsi"/>
        </w:rPr>
      </w:pPr>
      <w:r w:rsidRPr="0037600B">
        <w:rPr>
          <w:rFonts w:asciiTheme="minorHAnsi" w:hAnsiTheme="minorHAnsi"/>
        </w:rPr>
        <w:t>18 meža kultūru stādaudzētavu pārbaudes un noņemti 4 paraugi.</w:t>
      </w:r>
    </w:p>
    <w:p w:rsidR="0037600B" w:rsidRPr="0037600B" w:rsidRDefault="0037600B" w:rsidP="001234C1">
      <w:pPr>
        <w:pStyle w:val="ListParagraph"/>
        <w:widowControl w:val="0"/>
        <w:numPr>
          <w:ilvl w:val="0"/>
          <w:numId w:val="13"/>
        </w:numPr>
        <w:spacing w:before="120"/>
        <w:jc w:val="both"/>
        <w:rPr>
          <w:rFonts w:asciiTheme="minorHAnsi" w:hAnsiTheme="minorHAnsi"/>
        </w:rPr>
      </w:pPr>
      <w:r w:rsidRPr="0037600B">
        <w:rPr>
          <w:rFonts w:asciiTheme="minorHAnsi" w:hAnsiTheme="minorHAnsi"/>
        </w:rPr>
        <w:t>Ņemtajos paraugos PKN netika konstatēta.</w:t>
      </w:r>
    </w:p>
    <w:p w:rsidR="002838F2" w:rsidRPr="0037600B" w:rsidRDefault="002838F2" w:rsidP="0037600B">
      <w:pPr>
        <w:widowControl w:val="0"/>
        <w:shd w:val="clear" w:color="auto" w:fill="EAF1DD" w:themeFill="accent3" w:themeFillTint="33"/>
        <w:spacing w:before="120"/>
        <w:jc w:val="both"/>
        <w:rPr>
          <w:rFonts w:asciiTheme="minorHAnsi" w:hAnsiTheme="minorHAnsi"/>
          <w:sz w:val="28"/>
        </w:rPr>
      </w:pPr>
      <w:r w:rsidRPr="0037600B">
        <w:rPr>
          <w:rFonts w:asciiTheme="minorHAnsi" w:hAnsiTheme="minorHAnsi"/>
          <w:sz w:val="28"/>
        </w:rPr>
        <w:t xml:space="preserve">Veiktās pārbaudes priežu koksnes nematodes </w:t>
      </w:r>
      <w:proofErr w:type="spellStart"/>
      <w:r w:rsidRPr="0037600B">
        <w:rPr>
          <w:rFonts w:asciiTheme="minorHAnsi" w:hAnsiTheme="minorHAnsi"/>
          <w:sz w:val="28"/>
        </w:rPr>
        <w:t>Bursaphelenchus</w:t>
      </w:r>
      <w:proofErr w:type="spellEnd"/>
      <w:r w:rsidRPr="0037600B">
        <w:rPr>
          <w:rFonts w:asciiTheme="minorHAnsi" w:hAnsiTheme="minorHAnsi"/>
          <w:sz w:val="28"/>
        </w:rPr>
        <w:t xml:space="preserve"> </w:t>
      </w:r>
      <w:proofErr w:type="spellStart"/>
      <w:r w:rsidRPr="0037600B">
        <w:rPr>
          <w:rFonts w:asciiTheme="minorHAnsi" w:hAnsiTheme="minorHAnsi"/>
          <w:sz w:val="28"/>
        </w:rPr>
        <w:t>xylophilus</w:t>
      </w:r>
      <w:proofErr w:type="spellEnd"/>
      <w:r w:rsidRPr="0037600B">
        <w:rPr>
          <w:rFonts w:asciiTheme="minorHAnsi" w:hAnsiTheme="minorHAnsi"/>
          <w:sz w:val="28"/>
        </w:rPr>
        <w:t xml:space="preserve"> noteikšanai 201</w:t>
      </w:r>
      <w:r w:rsidR="0037600B" w:rsidRPr="0037600B">
        <w:rPr>
          <w:rFonts w:asciiTheme="minorHAnsi" w:hAnsiTheme="minorHAnsi"/>
          <w:sz w:val="28"/>
        </w:rPr>
        <w:t>2</w:t>
      </w:r>
      <w:r w:rsidRPr="0037600B">
        <w:rPr>
          <w:rFonts w:asciiTheme="minorHAnsi" w:hAnsiTheme="minorHAnsi"/>
          <w:sz w:val="28"/>
        </w:rPr>
        <w:t>.gadā</w:t>
      </w:r>
    </w:p>
    <w:p w:rsidR="002838F2" w:rsidRPr="004E6BD8" w:rsidRDefault="002838F2" w:rsidP="00511419">
      <w:pPr>
        <w:spacing w:before="120"/>
        <w:jc w:val="right"/>
        <w:rPr>
          <w:rFonts w:asciiTheme="minorHAnsi" w:hAnsiTheme="minorHAnsi"/>
          <w:b/>
        </w:rPr>
      </w:pPr>
    </w:p>
    <w:tbl>
      <w:tblPr>
        <w:tblW w:w="4856" w:type="pct"/>
        <w:jc w:val="center"/>
        <w:tblInd w:w="-252"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1480"/>
        <w:gridCol w:w="1338"/>
        <w:gridCol w:w="1467"/>
        <w:gridCol w:w="1331"/>
        <w:gridCol w:w="1101"/>
        <w:gridCol w:w="691"/>
        <w:gridCol w:w="1657"/>
      </w:tblGrid>
      <w:tr w:rsidR="00282FF5" w:rsidRPr="00376E4F" w:rsidTr="00282FF5">
        <w:trPr>
          <w:jc w:val="center"/>
        </w:trPr>
        <w:tc>
          <w:tcPr>
            <w:tcW w:w="816" w:type="pct"/>
            <w:shd w:val="clear" w:color="auto" w:fill="auto"/>
          </w:tcPr>
          <w:p w:rsidR="0037600B" w:rsidRPr="00376E4F" w:rsidRDefault="0037600B" w:rsidP="0037600B">
            <w:pPr>
              <w:widowControl w:val="0"/>
              <w:spacing w:line="285" w:lineRule="auto"/>
              <w:rPr>
                <w:rFonts w:asciiTheme="minorHAnsi" w:hAnsiTheme="minorHAnsi"/>
                <w:b/>
                <w:sz w:val="20"/>
                <w:szCs w:val="20"/>
              </w:rPr>
            </w:pPr>
          </w:p>
        </w:tc>
        <w:tc>
          <w:tcPr>
            <w:tcW w:w="738" w:type="pct"/>
            <w:shd w:val="clear" w:color="auto" w:fill="auto"/>
          </w:tcPr>
          <w:p w:rsidR="0037600B" w:rsidRPr="00376E4F" w:rsidRDefault="0037600B" w:rsidP="0037600B">
            <w:pPr>
              <w:widowControl w:val="0"/>
              <w:spacing w:line="285" w:lineRule="auto"/>
              <w:ind w:right="-80"/>
              <w:rPr>
                <w:rFonts w:asciiTheme="minorHAnsi" w:hAnsiTheme="minorHAnsi"/>
                <w:b/>
                <w:sz w:val="20"/>
                <w:szCs w:val="20"/>
              </w:rPr>
            </w:pPr>
            <w:r w:rsidRPr="00376E4F">
              <w:rPr>
                <w:rFonts w:asciiTheme="minorHAnsi" w:hAnsiTheme="minorHAnsi"/>
                <w:b/>
                <w:sz w:val="20"/>
                <w:szCs w:val="20"/>
              </w:rPr>
              <w:t>Mežaudzes</w:t>
            </w:r>
          </w:p>
        </w:tc>
        <w:tc>
          <w:tcPr>
            <w:tcW w:w="809" w:type="pct"/>
            <w:shd w:val="clear" w:color="auto" w:fill="auto"/>
          </w:tcPr>
          <w:p w:rsidR="0037600B" w:rsidRPr="00376E4F" w:rsidRDefault="0037600B" w:rsidP="0037600B">
            <w:pPr>
              <w:widowControl w:val="0"/>
              <w:spacing w:line="285" w:lineRule="auto"/>
              <w:ind w:left="-108" w:right="-108"/>
              <w:rPr>
                <w:rFonts w:asciiTheme="minorHAnsi" w:hAnsiTheme="minorHAnsi"/>
                <w:b/>
                <w:sz w:val="20"/>
                <w:szCs w:val="20"/>
              </w:rPr>
            </w:pPr>
            <w:r w:rsidRPr="00376E4F">
              <w:rPr>
                <w:rFonts w:asciiTheme="minorHAnsi" w:hAnsiTheme="minorHAnsi"/>
                <w:b/>
                <w:sz w:val="20"/>
                <w:szCs w:val="20"/>
              </w:rPr>
              <w:t>Latvijas izcelsmes zāģmateriāli</w:t>
            </w:r>
          </w:p>
        </w:tc>
        <w:tc>
          <w:tcPr>
            <w:tcW w:w="734" w:type="pct"/>
          </w:tcPr>
          <w:p w:rsidR="0037600B" w:rsidRPr="00376E4F" w:rsidRDefault="0037600B" w:rsidP="0037600B">
            <w:pPr>
              <w:widowControl w:val="0"/>
              <w:spacing w:line="285" w:lineRule="auto"/>
              <w:rPr>
                <w:rFonts w:asciiTheme="minorHAnsi" w:hAnsiTheme="minorHAnsi"/>
                <w:b/>
                <w:sz w:val="20"/>
                <w:szCs w:val="20"/>
              </w:rPr>
            </w:pPr>
            <w:r w:rsidRPr="00376E4F">
              <w:rPr>
                <w:rFonts w:asciiTheme="minorHAnsi" w:hAnsiTheme="minorHAnsi"/>
                <w:b/>
                <w:sz w:val="20"/>
                <w:szCs w:val="20"/>
              </w:rPr>
              <w:t>Trešo valstu izcelsmes zāģmateriāli</w:t>
            </w:r>
          </w:p>
        </w:tc>
        <w:tc>
          <w:tcPr>
            <w:tcW w:w="607" w:type="pct"/>
            <w:shd w:val="clear" w:color="auto" w:fill="auto"/>
          </w:tcPr>
          <w:p w:rsidR="0037600B" w:rsidRPr="00376E4F" w:rsidRDefault="0037600B" w:rsidP="0037600B">
            <w:pPr>
              <w:widowControl w:val="0"/>
              <w:spacing w:line="285" w:lineRule="auto"/>
              <w:rPr>
                <w:rFonts w:asciiTheme="minorHAnsi" w:hAnsiTheme="minorHAnsi"/>
                <w:b/>
                <w:sz w:val="20"/>
                <w:szCs w:val="20"/>
              </w:rPr>
            </w:pPr>
            <w:r w:rsidRPr="00376E4F">
              <w:rPr>
                <w:rFonts w:asciiTheme="minorHAnsi" w:hAnsiTheme="minorHAnsi"/>
                <w:b/>
                <w:sz w:val="20"/>
                <w:szCs w:val="20"/>
              </w:rPr>
              <w:t xml:space="preserve">Portugāles izcelsmes </w:t>
            </w:r>
            <w:proofErr w:type="spellStart"/>
            <w:r w:rsidRPr="00376E4F">
              <w:rPr>
                <w:rFonts w:asciiTheme="minorHAnsi" w:hAnsiTheme="minorHAnsi"/>
                <w:b/>
                <w:sz w:val="20"/>
                <w:szCs w:val="20"/>
              </w:rPr>
              <w:t>KIeM</w:t>
            </w:r>
            <w:proofErr w:type="spellEnd"/>
          </w:p>
        </w:tc>
        <w:tc>
          <w:tcPr>
            <w:tcW w:w="381" w:type="pct"/>
            <w:shd w:val="clear" w:color="auto" w:fill="auto"/>
          </w:tcPr>
          <w:p w:rsidR="0037600B" w:rsidRPr="00376E4F" w:rsidRDefault="0037600B" w:rsidP="0037600B">
            <w:pPr>
              <w:widowControl w:val="0"/>
              <w:spacing w:line="285" w:lineRule="auto"/>
              <w:rPr>
                <w:rFonts w:asciiTheme="minorHAnsi" w:hAnsiTheme="minorHAnsi"/>
                <w:b/>
                <w:sz w:val="20"/>
                <w:szCs w:val="20"/>
              </w:rPr>
            </w:pPr>
            <w:r w:rsidRPr="00376E4F">
              <w:rPr>
                <w:rFonts w:asciiTheme="minorHAnsi" w:hAnsiTheme="minorHAnsi"/>
                <w:b/>
                <w:sz w:val="20"/>
                <w:szCs w:val="20"/>
              </w:rPr>
              <w:t>Riska zonas</w:t>
            </w:r>
          </w:p>
        </w:tc>
        <w:tc>
          <w:tcPr>
            <w:tcW w:w="914" w:type="pct"/>
          </w:tcPr>
          <w:p w:rsidR="0037600B" w:rsidRPr="00376E4F" w:rsidRDefault="0037600B" w:rsidP="0037600B">
            <w:pPr>
              <w:widowControl w:val="0"/>
              <w:spacing w:line="285" w:lineRule="auto"/>
              <w:rPr>
                <w:rFonts w:asciiTheme="minorHAnsi" w:hAnsiTheme="minorHAnsi"/>
                <w:b/>
                <w:sz w:val="20"/>
                <w:szCs w:val="20"/>
              </w:rPr>
            </w:pPr>
            <w:r w:rsidRPr="00376E4F">
              <w:rPr>
                <w:rFonts w:asciiTheme="minorHAnsi" w:hAnsiTheme="minorHAnsi"/>
                <w:b/>
                <w:sz w:val="20"/>
                <w:szCs w:val="20"/>
              </w:rPr>
              <w:t>Stādaudzētavas</w:t>
            </w:r>
          </w:p>
        </w:tc>
      </w:tr>
      <w:tr w:rsidR="00282FF5" w:rsidRPr="00376E4F" w:rsidTr="00282FF5">
        <w:trPr>
          <w:jc w:val="center"/>
        </w:trPr>
        <w:tc>
          <w:tcPr>
            <w:tcW w:w="816" w:type="pct"/>
            <w:shd w:val="clear" w:color="auto" w:fill="auto"/>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Pārbaužu skaits</w:t>
            </w:r>
          </w:p>
        </w:tc>
        <w:tc>
          <w:tcPr>
            <w:tcW w:w="738"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102</w:t>
            </w:r>
          </w:p>
        </w:tc>
        <w:tc>
          <w:tcPr>
            <w:tcW w:w="809"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53</w:t>
            </w:r>
          </w:p>
        </w:tc>
        <w:tc>
          <w:tcPr>
            <w:tcW w:w="73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607"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7</w:t>
            </w:r>
          </w:p>
        </w:tc>
        <w:tc>
          <w:tcPr>
            <w:tcW w:w="381"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39</w:t>
            </w:r>
          </w:p>
        </w:tc>
        <w:tc>
          <w:tcPr>
            <w:tcW w:w="91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30</w:t>
            </w:r>
          </w:p>
        </w:tc>
      </w:tr>
      <w:tr w:rsidR="00282FF5" w:rsidRPr="00376E4F" w:rsidTr="00282FF5">
        <w:trPr>
          <w:jc w:val="center"/>
        </w:trPr>
        <w:tc>
          <w:tcPr>
            <w:tcW w:w="816" w:type="pct"/>
            <w:shd w:val="clear" w:color="auto" w:fill="auto"/>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Pārbaudīto vietu skaits</w:t>
            </w:r>
          </w:p>
        </w:tc>
        <w:tc>
          <w:tcPr>
            <w:tcW w:w="738"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102</w:t>
            </w:r>
          </w:p>
        </w:tc>
        <w:tc>
          <w:tcPr>
            <w:tcW w:w="809"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51</w:t>
            </w:r>
          </w:p>
        </w:tc>
        <w:tc>
          <w:tcPr>
            <w:tcW w:w="73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607"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5</w:t>
            </w:r>
          </w:p>
        </w:tc>
        <w:tc>
          <w:tcPr>
            <w:tcW w:w="381"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39</w:t>
            </w:r>
          </w:p>
        </w:tc>
        <w:tc>
          <w:tcPr>
            <w:tcW w:w="91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24</w:t>
            </w:r>
          </w:p>
        </w:tc>
      </w:tr>
      <w:tr w:rsidR="00282FF5" w:rsidRPr="00376E4F" w:rsidTr="00282FF5">
        <w:trPr>
          <w:jc w:val="center"/>
        </w:trPr>
        <w:tc>
          <w:tcPr>
            <w:tcW w:w="816" w:type="pct"/>
            <w:shd w:val="clear" w:color="auto" w:fill="auto"/>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Noņemto</w:t>
            </w:r>
          </w:p>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paraugu skaits</w:t>
            </w:r>
          </w:p>
        </w:tc>
        <w:tc>
          <w:tcPr>
            <w:tcW w:w="738"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107</w:t>
            </w:r>
          </w:p>
        </w:tc>
        <w:tc>
          <w:tcPr>
            <w:tcW w:w="809"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54</w:t>
            </w:r>
          </w:p>
        </w:tc>
        <w:tc>
          <w:tcPr>
            <w:tcW w:w="73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607"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c>
          <w:tcPr>
            <w:tcW w:w="381"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12</w:t>
            </w:r>
          </w:p>
        </w:tc>
        <w:tc>
          <w:tcPr>
            <w:tcW w:w="91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r>
      <w:tr w:rsidR="00282FF5" w:rsidRPr="00376E4F" w:rsidTr="00282FF5">
        <w:trPr>
          <w:trHeight w:val="493"/>
          <w:jc w:val="center"/>
        </w:trPr>
        <w:tc>
          <w:tcPr>
            <w:tcW w:w="816" w:type="pct"/>
            <w:shd w:val="clear" w:color="auto" w:fill="auto"/>
          </w:tcPr>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Pārbaudītā</w:t>
            </w:r>
          </w:p>
          <w:p w:rsidR="0037600B" w:rsidRPr="00376E4F" w:rsidRDefault="0037600B" w:rsidP="0037600B">
            <w:pPr>
              <w:widowControl w:val="0"/>
              <w:spacing w:line="285" w:lineRule="auto"/>
              <w:rPr>
                <w:rFonts w:asciiTheme="minorHAnsi" w:hAnsiTheme="minorHAnsi"/>
                <w:sz w:val="20"/>
                <w:szCs w:val="20"/>
              </w:rPr>
            </w:pPr>
            <w:r w:rsidRPr="00376E4F">
              <w:rPr>
                <w:rFonts w:asciiTheme="minorHAnsi" w:hAnsiTheme="minorHAnsi"/>
                <w:sz w:val="20"/>
                <w:szCs w:val="20"/>
              </w:rPr>
              <w:t>platība, ha</w:t>
            </w:r>
          </w:p>
        </w:tc>
        <w:tc>
          <w:tcPr>
            <w:tcW w:w="738"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202,5</w:t>
            </w:r>
          </w:p>
        </w:tc>
        <w:tc>
          <w:tcPr>
            <w:tcW w:w="809"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w:t>
            </w:r>
          </w:p>
        </w:tc>
        <w:tc>
          <w:tcPr>
            <w:tcW w:w="73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w:t>
            </w:r>
          </w:p>
        </w:tc>
        <w:tc>
          <w:tcPr>
            <w:tcW w:w="607"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w:t>
            </w:r>
          </w:p>
        </w:tc>
        <w:tc>
          <w:tcPr>
            <w:tcW w:w="381" w:type="pct"/>
            <w:shd w:val="clear" w:color="auto" w:fill="auto"/>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w:t>
            </w:r>
          </w:p>
        </w:tc>
        <w:tc>
          <w:tcPr>
            <w:tcW w:w="914" w:type="pct"/>
          </w:tcPr>
          <w:p w:rsidR="0037600B" w:rsidRPr="00376E4F" w:rsidRDefault="0037600B" w:rsidP="00282FF5">
            <w:pPr>
              <w:widowControl w:val="0"/>
              <w:spacing w:line="285" w:lineRule="auto"/>
              <w:jc w:val="center"/>
              <w:rPr>
                <w:rFonts w:asciiTheme="minorHAnsi" w:hAnsiTheme="minorHAnsi"/>
                <w:sz w:val="20"/>
                <w:szCs w:val="20"/>
              </w:rPr>
            </w:pPr>
            <w:r w:rsidRPr="00376E4F">
              <w:rPr>
                <w:rFonts w:asciiTheme="minorHAnsi" w:hAnsiTheme="minorHAnsi"/>
                <w:sz w:val="20"/>
                <w:szCs w:val="20"/>
              </w:rPr>
              <w:t>-</w:t>
            </w:r>
          </w:p>
        </w:tc>
      </w:tr>
    </w:tbl>
    <w:p w:rsidR="0037600B" w:rsidRDefault="0037600B" w:rsidP="0037600B">
      <w:pPr>
        <w:ind w:firstLine="709"/>
        <w:jc w:val="both"/>
        <w:rPr>
          <w:strike/>
        </w:rPr>
      </w:pPr>
    </w:p>
    <w:p w:rsidR="00E63DA2" w:rsidRDefault="00E63DA2" w:rsidP="00E63DA2">
      <w:pPr>
        <w:widowControl w:val="0"/>
        <w:shd w:val="clear" w:color="auto" w:fill="EAF1DD" w:themeFill="accent3" w:themeFillTint="33"/>
        <w:spacing w:before="120"/>
        <w:jc w:val="both"/>
        <w:rPr>
          <w:rFonts w:asciiTheme="minorHAnsi" w:hAnsiTheme="minorHAnsi"/>
          <w:sz w:val="28"/>
        </w:rPr>
      </w:pPr>
      <w:bookmarkStart w:id="22" w:name="_Toc204739235"/>
      <w:r>
        <w:rPr>
          <w:rFonts w:asciiTheme="minorHAnsi" w:hAnsiTheme="minorHAnsi"/>
          <w:sz w:val="28"/>
        </w:rPr>
        <w:t>4.</w:t>
      </w:r>
      <w:r w:rsidR="005C155C">
        <w:rPr>
          <w:rFonts w:asciiTheme="minorHAnsi" w:hAnsiTheme="minorHAnsi"/>
          <w:sz w:val="28"/>
        </w:rPr>
        <w:t>2</w:t>
      </w:r>
      <w:r>
        <w:rPr>
          <w:rFonts w:asciiTheme="minorHAnsi" w:hAnsiTheme="minorHAnsi"/>
          <w:sz w:val="28"/>
        </w:rPr>
        <w:t>.</w:t>
      </w:r>
      <w:r w:rsidR="005C155C">
        <w:rPr>
          <w:rFonts w:asciiTheme="minorHAnsi" w:hAnsiTheme="minorHAnsi"/>
          <w:sz w:val="28"/>
        </w:rPr>
        <w:t>4</w:t>
      </w:r>
      <w:r w:rsidRPr="00E63DA2">
        <w:rPr>
          <w:rFonts w:asciiTheme="minorHAnsi" w:hAnsiTheme="minorHAnsi"/>
          <w:sz w:val="28"/>
        </w:rPr>
        <w:t xml:space="preserve">. </w:t>
      </w:r>
      <w:bookmarkEnd w:id="22"/>
      <w:r w:rsidRPr="00E63DA2">
        <w:rPr>
          <w:rFonts w:asciiTheme="minorHAnsi" w:hAnsiTheme="minorHAnsi"/>
          <w:sz w:val="28"/>
        </w:rPr>
        <w:t>Normatīvo aktu ievērošanas uzraudzība un kontrole</w:t>
      </w:r>
    </w:p>
    <w:p w:rsidR="001302C2" w:rsidRDefault="001302C2" w:rsidP="001302C2">
      <w:pPr>
        <w:widowControl w:val="0"/>
        <w:spacing w:before="120"/>
        <w:jc w:val="both"/>
        <w:rPr>
          <w:rFonts w:asciiTheme="minorHAnsi" w:hAnsiTheme="minorHAnsi"/>
          <w:sz w:val="28"/>
        </w:rPr>
      </w:pPr>
    </w:p>
    <w:p w:rsidR="002838F2" w:rsidRPr="006F319C" w:rsidRDefault="002838F2" w:rsidP="006F319C">
      <w:pPr>
        <w:widowControl w:val="0"/>
        <w:shd w:val="clear" w:color="auto" w:fill="EAF1DD" w:themeFill="accent3" w:themeFillTint="33"/>
        <w:spacing w:before="120"/>
        <w:jc w:val="both"/>
        <w:rPr>
          <w:rFonts w:asciiTheme="minorHAnsi" w:hAnsiTheme="minorHAnsi"/>
          <w:sz w:val="28"/>
        </w:rPr>
      </w:pPr>
      <w:r w:rsidRPr="006F319C">
        <w:rPr>
          <w:rFonts w:asciiTheme="minorHAnsi" w:hAnsiTheme="minorHAnsi"/>
          <w:sz w:val="28"/>
        </w:rPr>
        <w:t>Aizsargājamās zonas statusa uzturēšanai un saglabāšanai veiktās pārbaudes</w:t>
      </w:r>
    </w:p>
    <w:p w:rsidR="002838F2" w:rsidRPr="006F319C" w:rsidRDefault="002838F2" w:rsidP="006F319C">
      <w:pPr>
        <w:widowControl w:val="0"/>
        <w:spacing w:before="120"/>
        <w:jc w:val="both"/>
        <w:rPr>
          <w:rFonts w:asciiTheme="minorHAnsi" w:hAnsiTheme="minorHAnsi"/>
          <w:b/>
        </w:rPr>
      </w:pPr>
      <w:bookmarkStart w:id="23" w:name="_Toc204739237"/>
      <w:r w:rsidRPr="006F319C">
        <w:rPr>
          <w:rFonts w:asciiTheme="minorHAnsi" w:hAnsiTheme="minorHAnsi"/>
          <w:b/>
        </w:rPr>
        <w:t xml:space="preserve">Bālā kartupeļu cistu nematode </w:t>
      </w:r>
      <w:proofErr w:type="spellStart"/>
      <w:r w:rsidRPr="006F319C">
        <w:rPr>
          <w:rFonts w:asciiTheme="minorHAnsi" w:hAnsiTheme="minorHAnsi"/>
          <w:b/>
        </w:rPr>
        <w:t>Globodera</w:t>
      </w:r>
      <w:proofErr w:type="spellEnd"/>
      <w:r w:rsidRPr="006F319C">
        <w:rPr>
          <w:rFonts w:asciiTheme="minorHAnsi" w:hAnsiTheme="minorHAnsi"/>
          <w:b/>
        </w:rPr>
        <w:t xml:space="preserve"> </w:t>
      </w:r>
      <w:proofErr w:type="spellStart"/>
      <w:r w:rsidRPr="006F319C">
        <w:rPr>
          <w:rFonts w:asciiTheme="minorHAnsi" w:hAnsiTheme="minorHAnsi"/>
          <w:b/>
        </w:rPr>
        <w:t>pallida</w:t>
      </w:r>
      <w:proofErr w:type="spellEnd"/>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Latvijai ir piešķirts aizsargājamās zonas status </w:t>
      </w:r>
      <w:r w:rsidRPr="006F319C">
        <w:rPr>
          <w:rFonts w:asciiTheme="minorHAnsi" w:hAnsiTheme="minorHAnsi"/>
          <w:b/>
        </w:rPr>
        <w:t xml:space="preserve">bālajai kartupeļu cistu nematodei </w:t>
      </w:r>
      <w:proofErr w:type="spellStart"/>
      <w:r w:rsidRPr="006F319C">
        <w:rPr>
          <w:rFonts w:asciiTheme="minorHAnsi" w:hAnsiTheme="minorHAnsi"/>
          <w:b/>
        </w:rPr>
        <w:t>Globodera</w:t>
      </w:r>
      <w:proofErr w:type="spellEnd"/>
      <w:r w:rsidRPr="006F319C">
        <w:rPr>
          <w:rFonts w:asciiTheme="minorHAnsi" w:hAnsiTheme="minorHAnsi"/>
          <w:b/>
        </w:rPr>
        <w:t xml:space="preserve"> </w:t>
      </w:r>
      <w:proofErr w:type="spellStart"/>
      <w:r w:rsidRPr="006F319C">
        <w:rPr>
          <w:rFonts w:asciiTheme="minorHAnsi" w:hAnsiTheme="minorHAnsi"/>
          <w:b/>
        </w:rPr>
        <w:t>pallida</w:t>
      </w:r>
      <w:proofErr w:type="spellEnd"/>
      <w:r w:rsidRPr="008F1673">
        <w:rPr>
          <w:rFonts w:asciiTheme="minorHAnsi" w:hAnsiTheme="minorHAnsi"/>
        </w:rPr>
        <w:t>, tādēļ katru gadu tiek veiktas pārbaudes šī augu karantīnas organisma atklāšanai.</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Lai konstatētu bālās kartupeļu cistu nematodes </w:t>
      </w:r>
      <w:proofErr w:type="spellStart"/>
      <w:r w:rsidRPr="008F1673">
        <w:rPr>
          <w:rFonts w:asciiTheme="minorHAnsi" w:hAnsiTheme="minorHAnsi"/>
        </w:rPr>
        <w:t>Globodera</w:t>
      </w:r>
      <w:proofErr w:type="spellEnd"/>
      <w:r w:rsidRPr="008F1673">
        <w:rPr>
          <w:rFonts w:asciiTheme="minorHAnsi" w:hAnsiTheme="minorHAnsi"/>
        </w:rPr>
        <w:t xml:space="preserve"> </w:t>
      </w:r>
      <w:proofErr w:type="spellStart"/>
      <w:r w:rsidRPr="008F1673">
        <w:rPr>
          <w:rFonts w:asciiTheme="minorHAnsi" w:hAnsiTheme="minorHAnsi"/>
        </w:rPr>
        <w:t>pallida</w:t>
      </w:r>
      <w:proofErr w:type="spellEnd"/>
      <w:r w:rsidRPr="008F1673">
        <w:rPr>
          <w:rFonts w:asciiTheme="minorHAnsi" w:hAnsiTheme="minorHAnsi"/>
        </w:rPr>
        <w:t xml:space="preserve"> klātbūtni, augsnes paraugi tika noņemti sēklas un pārtikas kartupeļu audzēšanas saimniecībās un stādaudzētavās. Pavisam tika noņemti 972 augsnes paraugi 82 saimniecībās, kuru kopējā pārbaudītā platība ir 1001,874 ha. </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Kartupeļu sēklaudzēšanas saimniecībās augsnes paraugi tiek ņemti no laukiem, kuros plānots audzēt sēklas kartupeļus, kā arī no plānotajiem pārtikas kartupeļu audzēšanas laukiem. 2012.gadā pārbaudīta plānotā kartupeļu audzēšanas platība 30 kartupeļu sēklaudzēšanas saimniecībās, noņemot 791 augsnes paraugu no 768,16 ha lielas platības. </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2010.gadā visā Eiropas Savienībā tika uzsākts monitorings kartupeļu cistu nematožu izplatības noteikšanai pārtikas kartupeļu audzēšanas saimniecībās, lai gūtu priekšstatu, cik </w:t>
      </w:r>
      <w:r w:rsidRPr="008F1673">
        <w:rPr>
          <w:rFonts w:asciiTheme="minorHAnsi" w:hAnsiTheme="minorHAnsi"/>
        </w:rPr>
        <w:lastRenderedPageBreak/>
        <w:t xml:space="preserve">plaši valstīs ir izplatījies šis augu karantīnas. 2012.gadā monitorings pārtikas kartupeļu audzēšanas saimniecībās turpinājās, pārbaudot 35 saimniecībās kartupeļu audzēšanas laukus 205,97 ha platībā, noņemot 136 augsnes paraugus un 4 augsnes saslauku paraugus no kartupeļu glabāšanas vietām. </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Joprojām augsne tiek pārbaudīta ar stādaudzētavās, ņemot augsnes paraugus no jaunajiem laukiem, kuros stādi vēl nav audzēti, bet plānots paplašināt stādaudzētavu laukus. Svarīgi tas ir arī gadījumos, ja stādaudzētava vēlas eksportēt stādus </w:t>
      </w:r>
      <w:proofErr w:type="spellStart"/>
      <w:r w:rsidRPr="008F1673">
        <w:rPr>
          <w:rFonts w:asciiTheme="minorHAnsi" w:hAnsiTheme="minorHAnsi"/>
        </w:rPr>
        <w:t>āŗpus</w:t>
      </w:r>
      <w:proofErr w:type="spellEnd"/>
      <w:r w:rsidRPr="008F1673">
        <w:rPr>
          <w:rFonts w:asciiTheme="minorHAnsi" w:hAnsiTheme="minorHAnsi"/>
        </w:rPr>
        <w:t xml:space="preserve"> Eiropas Savienības. Tā 2012.gadā 17 stādaudzētavās noņemts 41 augsnes paraugs no 27,744 ha lielas platības.</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Kartupeļu cistu nematožu atklāšanai pārbaudes tiek veiktas arī eksportam paredzētajām kravām – kūdrai, </w:t>
      </w:r>
      <w:proofErr w:type="spellStart"/>
      <w:r w:rsidRPr="008F1673">
        <w:rPr>
          <w:rFonts w:asciiTheme="minorHAnsi" w:hAnsiTheme="minorHAnsi"/>
        </w:rPr>
        <w:t>mulčam</w:t>
      </w:r>
      <w:proofErr w:type="spellEnd"/>
      <w:r w:rsidRPr="008F1673">
        <w:rPr>
          <w:rFonts w:asciiTheme="minorHAnsi" w:hAnsiTheme="minorHAnsi"/>
        </w:rPr>
        <w:t>, kā arī augu produktiem, kuri satur augsni. 2012.gadā noņemti 83 šādi paraugi, kartupeļu cistu nematodes tajos netika konstatētas.</w:t>
      </w:r>
    </w:p>
    <w:p w:rsidR="006F319C" w:rsidRPr="008F1673" w:rsidRDefault="006F319C" w:rsidP="006F319C">
      <w:pPr>
        <w:widowControl w:val="0"/>
        <w:spacing w:before="120"/>
        <w:jc w:val="both"/>
        <w:rPr>
          <w:rFonts w:asciiTheme="minorHAnsi" w:hAnsiTheme="minorHAnsi"/>
        </w:rPr>
      </w:pPr>
      <w:r w:rsidRPr="008F1673">
        <w:rPr>
          <w:rFonts w:asciiTheme="minorHAnsi" w:hAnsiTheme="minorHAnsi"/>
        </w:rPr>
        <w:t xml:space="preserve">Bālās kartupeļu cistu nematodes </w:t>
      </w:r>
      <w:proofErr w:type="spellStart"/>
      <w:r w:rsidRPr="008F1673">
        <w:rPr>
          <w:rFonts w:asciiTheme="minorHAnsi" w:hAnsiTheme="minorHAnsi"/>
        </w:rPr>
        <w:t>Globodera</w:t>
      </w:r>
      <w:proofErr w:type="spellEnd"/>
      <w:r w:rsidRPr="008F1673">
        <w:rPr>
          <w:rFonts w:asciiTheme="minorHAnsi" w:hAnsiTheme="minorHAnsi"/>
        </w:rPr>
        <w:t xml:space="preserve"> </w:t>
      </w:r>
      <w:proofErr w:type="spellStart"/>
      <w:r w:rsidRPr="008F1673">
        <w:rPr>
          <w:rFonts w:asciiTheme="minorHAnsi" w:hAnsiTheme="minorHAnsi"/>
        </w:rPr>
        <w:t>pallida</w:t>
      </w:r>
      <w:proofErr w:type="spellEnd"/>
      <w:r w:rsidRPr="008F1673">
        <w:rPr>
          <w:rFonts w:asciiTheme="minorHAnsi" w:hAnsiTheme="minorHAnsi"/>
        </w:rPr>
        <w:t xml:space="preserve"> atšķiršanai no zeltītās kartupeļu cistu nematodes </w:t>
      </w:r>
      <w:proofErr w:type="spellStart"/>
      <w:r w:rsidRPr="008F1673">
        <w:rPr>
          <w:rFonts w:asciiTheme="minorHAnsi" w:hAnsiTheme="minorHAnsi"/>
        </w:rPr>
        <w:t>Globodera</w:t>
      </w:r>
      <w:proofErr w:type="spellEnd"/>
      <w:r w:rsidRPr="008F1673">
        <w:rPr>
          <w:rFonts w:asciiTheme="minorHAnsi" w:hAnsiTheme="minorHAnsi"/>
        </w:rPr>
        <w:t xml:space="preserve"> </w:t>
      </w:r>
      <w:proofErr w:type="spellStart"/>
      <w:r w:rsidRPr="008F1673">
        <w:rPr>
          <w:rFonts w:asciiTheme="minorHAnsi" w:hAnsiTheme="minorHAnsi"/>
        </w:rPr>
        <w:t>rostochiensis</w:t>
      </w:r>
      <w:proofErr w:type="spellEnd"/>
      <w:r w:rsidRPr="008F1673">
        <w:rPr>
          <w:rFonts w:asciiTheme="minorHAnsi" w:hAnsiTheme="minorHAnsi"/>
        </w:rPr>
        <w:t xml:space="preserve">, kas Latvijā ir sastopama, laboratorijā tika veikta cistu </w:t>
      </w:r>
      <w:proofErr w:type="spellStart"/>
      <w:r w:rsidRPr="008F1673">
        <w:rPr>
          <w:rFonts w:asciiTheme="minorHAnsi" w:hAnsiTheme="minorHAnsi"/>
        </w:rPr>
        <w:t>mikroskopēšana</w:t>
      </w:r>
      <w:proofErr w:type="spellEnd"/>
      <w:r w:rsidRPr="008F1673">
        <w:rPr>
          <w:rFonts w:asciiTheme="minorHAnsi" w:hAnsiTheme="minorHAnsi"/>
        </w:rPr>
        <w:t>. Bālās kartupeļu cistu nematodes klātbūtne Latvijā netika konstatēta.</w:t>
      </w:r>
    </w:p>
    <w:p w:rsidR="006F319C" w:rsidRPr="008F1673" w:rsidRDefault="006F319C" w:rsidP="006F319C">
      <w:pPr>
        <w:widowControl w:val="0"/>
        <w:spacing w:before="120"/>
        <w:jc w:val="both"/>
        <w:rPr>
          <w:rFonts w:asciiTheme="minorHAnsi" w:hAnsiTheme="minorHAnsi"/>
        </w:rPr>
      </w:pPr>
    </w:p>
    <w:p w:rsidR="006F319C" w:rsidRPr="006F319C" w:rsidRDefault="006F319C" w:rsidP="006F319C">
      <w:pPr>
        <w:widowControl w:val="0"/>
        <w:spacing w:before="120"/>
        <w:jc w:val="both"/>
        <w:rPr>
          <w:rFonts w:asciiTheme="minorHAnsi" w:hAnsiTheme="minorHAnsi"/>
          <w:b/>
        </w:rPr>
      </w:pPr>
      <w:r w:rsidRPr="006F319C">
        <w:rPr>
          <w:rFonts w:asciiTheme="minorHAnsi" w:hAnsiTheme="minorHAnsi"/>
          <w:b/>
        </w:rPr>
        <w:t xml:space="preserve">Zeltītā kartupeļu cistu nematode </w:t>
      </w:r>
      <w:proofErr w:type="spellStart"/>
      <w:r w:rsidRPr="006F319C">
        <w:rPr>
          <w:rFonts w:asciiTheme="minorHAnsi" w:hAnsiTheme="minorHAnsi"/>
          <w:b/>
        </w:rPr>
        <w:t>Globodera</w:t>
      </w:r>
      <w:proofErr w:type="spellEnd"/>
      <w:r w:rsidRPr="006F319C">
        <w:rPr>
          <w:rFonts w:asciiTheme="minorHAnsi" w:hAnsiTheme="minorHAnsi"/>
          <w:b/>
        </w:rPr>
        <w:t xml:space="preserve"> </w:t>
      </w:r>
      <w:proofErr w:type="spellStart"/>
      <w:r w:rsidRPr="006F319C">
        <w:rPr>
          <w:rFonts w:asciiTheme="minorHAnsi" w:hAnsiTheme="minorHAnsi"/>
          <w:b/>
        </w:rPr>
        <w:t>rostochiensis</w:t>
      </w:r>
      <w:proofErr w:type="spellEnd"/>
    </w:p>
    <w:p w:rsidR="006F319C" w:rsidRDefault="006F319C" w:rsidP="006F319C">
      <w:pPr>
        <w:widowControl w:val="0"/>
        <w:spacing w:before="120"/>
        <w:jc w:val="both"/>
        <w:rPr>
          <w:rFonts w:asciiTheme="minorHAnsi" w:hAnsiTheme="minorHAnsi"/>
        </w:rPr>
      </w:pPr>
      <w:r w:rsidRPr="008F1673">
        <w:rPr>
          <w:rFonts w:asciiTheme="minorHAnsi" w:hAnsiTheme="minorHAnsi"/>
        </w:rPr>
        <w:t xml:space="preserve">No pārbaudītās 81 saimniecības, zeltītā kartupeļu cistu nematode tika konstatēta 3 sēklas kartupeļu audzēšanas saimniecībās 71,90 ha platībā laukos, kuros 2012.gadā bija plānots audzēt kartupeļus un piecās pārtikas kartupeļu audzēšanas saimniecībās 3,8  ha platībā. </w:t>
      </w:r>
    </w:p>
    <w:p w:rsidR="006F319C" w:rsidRPr="008F1673" w:rsidRDefault="006F319C" w:rsidP="006F319C">
      <w:pPr>
        <w:widowControl w:val="0"/>
        <w:spacing w:before="120"/>
        <w:jc w:val="both"/>
        <w:rPr>
          <w:rFonts w:asciiTheme="minorHAnsi" w:hAnsiTheme="minorHAnsi"/>
        </w:rPr>
      </w:pPr>
    </w:p>
    <w:p w:rsidR="006F319C" w:rsidRPr="008F1673" w:rsidRDefault="006F319C" w:rsidP="006F319C">
      <w:pPr>
        <w:shd w:val="clear" w:color="auto" w:fill="DAEEF3" w:themeFill="accent5" w:themeFillTint="33"/>
        <w:jc w:val="both"/>
        <w:rPr>
          <w:rFonts w:asciiTheme="minorHAnsi" w:hAnsiTheme="minorHAnsi"/>
        </w:rPr>
      </w:pPr>
      <w:r w:rsidRPr="008F1673">
        <w:rPr>
          <w:rFonts w:asciiTheme="minorHAnsi" w:hAnsiTheme="minorHAnsi"/>
        </w:rPr>
        <w:t xml:space="preserve">Veiktās pārbaudes kartupeļu cistu nematožu </w:t>
      </w:r>
      <w:proofErr w:type="spellStart"/>
      <w:r w:rsidRPr="008F1673">
        <w:rPr>
          <w:rFonts w:asciiTheme="minorHAnsi" w:hAnsiTheme="minorHAnsi"/>
        </w:rPr>
        <w:t>Globodera</w:t>
      </w:r>
      <w:proofErr w:type="spellEnd"/>
      <w:r w:rsidRPr="008F1673">
        <w:rPr>
          <w:rFonts w:asciiTheme="minorHAnsi" w:hAnsiTheme="minorHAnsi"/>
        </w:rPr>
        <w:t xml:space="preserve"> </w:t>
      </w:r>
      <w:proofErr w:type="spellStart"/>
      <w:r w:rsidRPr="008F1673">
        <w:rPr>
          <w:rFonts w:asciiTheme="minorHAnsi" w:hAnsiTheme="minorHAnsi"/>
        </w:rPr>
        <w:t>pallida</w:t>
      </w:r>
      <w:proofErr w:type="spellEnd"/>
      <w:r w:rsidRPr="008F1673">
        <w:rPr>
          <w:rFonts w:asciiTheme="minorHAnsi" w:hAnsiTheme="minorHAnsi"/>
        </w:rPr>
        <w:t xml:space="preserve"> un </w:t>
      </w:r>
      <w:proofErr w:type="spellStart"/>
      <w:r w:rsidRPr="008F1673">
        <w:rPr>
          <w:rFonts w:asciiTheme="minorHAnsi" w:hAnsiTheme="minorHAnsi"/>
        </w:rPr>
        <w:t>Globodera</w:t>
      </w:r>
      <w:proofErr w:type="spellEnd"/>
      <w:r w:rsidRPr="008F1673">
        <w:rPr>
          <w:rFonts w:asciiTheme="minorHAnsi" w:hAnsiTheme="minorHAnsi"/>
        </w:rPr>
        <w:t xml:space="preserve"> </w:t>
      </w:r>
    </w:p>
    <w:p w:rsidR="006F319C" w:rsidRPr="008F1673" w:rsidRDefault="006F319C" w:rsidP="006F319C">
      <w:pPr>
        <w:shd w:val="clear" w:color="auto" w:fill="DAEEF3" w:themeFill="accent5" w:themeFillTint="33"/>
        <w:jc w:val="both"/>
        <w:rPr>
          <w:rFonts w:asciiTheme="minorHAnsi" w:hAnsiTheme="minorHAnsi"/>
        </w:rPr>
      </w:pPr>
      <w:proofErr w:type="spellStart"/>
      <w:r w:rsidRPr="008F1673">
        <w:rPr>
          <w:rFonts w:asciiTheme="minorHAnsi" w:hAnsiTheme="minorHAnsi"/>
        </w:rPr>
        <w:t>rostochiensis</w:t>
      </w:r>
      <w:proofErr w:type="spellEnd"/>
      <w:r w:rsidRPr="008F1673">
        <w:rPr>
          <w:rFonts w:asciiTheme="minorHAnsi" w:hAnsiTheme="minorHAnsi"/>
        </w:rPr>
        <w:t xml:space="preserve"> izplatības noteikšanai 2012.gadā</w:t>
      </w:r>
    </w:p>
    <w:p w:rsidR="002838F2" w:rsidRPr="004E6BD8" w:rsidRDefault="002838F2" w:rsidP="00511419">
      <w:pPr>
        <w:spacing w:before="120"/>
        <w:ind w:firstLine="600"/>
        <w:jc w:val="center"/>
        <w:rPr>
          <w:rFonts w:asciiTheme="minorHAnsi" w:hAnsiTheme="minorHAnsi"/>
          <w:b/>
          <w:highlight w:val="yellow"/>
        </w:rPr>
      </w:pPr>
    </w:p>
    <w:tbl>
      <w:tblPr>
        <w:tblW w:w="5000" w:type="pct"/>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3184"/>
        <w:gridCol w:w="1475"/>
        <w:gridCol w:w="1600"/>
        <w:gridCol w:w="1600"/>
        <w:gridCol w:w="1475"/>
      </w:tblGrid>
      <w:tr w:rsidR="006F319C" w:rsidRPr="00376E4F" w:rsidTr="006F319C">
        <w:trPr>
          <w:trHeight w:val="472"/>
        </w:trPr>
        <w:tc>
          <w:tcPr>
            <w:tcW w:w="1706" w:type="pct"/>
            <w:shd w:val="clear" w:color="auto" w:fill="auto"/>
          </w:tcPr>
          <w:p w:rsidR="006F319C" w:rsidRPr="00376E4F" w:rsidRDefault="006F319C" w:rsidP="006F319C">
            <w:pPr>
              <w:widowControl w:val="0"/>
              <w:spacing w:line="285" w:lineRule="auto"/>
              <w:jc w:val="center"/>
              <w:rPr>
                <w:rFonts w:asciiTheme="minorHAnsi" w:hAnsiTheme="minorHAnsi"/>
                <w:b/>
                <w:sz w:val="20"/>
                <w:szCs w:val="20"/>
              </w:rPr>
            </w:pP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b/>
                <w:sz w:val="20"/>
                <w:szCs w:val="20"/>
              </w:rPr>
            </w:pPr>
            <w:r w:rsidRPr="00376E4F">
              <w:rPr>
                <w:rFonts w:asciiTheme="minorHAnsi" w:hAnsiTheme="minorHAnsi"/>
                <w:b/>
                <w:sz w:val="20"/>
                <w:szCs w:val="20"/>
              </w:rPr>
              <w:t>Sēklas kartupeļi</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Pārtikas kartupeļi</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b/>
                <w:sz w:val="20"/>
                <w:szCs w:val="20"/>
              </w:rPr>
            </w:pPr>
            <w:r w:rsidRPr="00376E4F">
              <w:rPr>
                <w:rFonts w:asciiTheme="minorHAnsi" w:hAnsiTheme="minorHAnsi"/>
                <w:b/>
                <w:sz w:val="20"/>
                <w:szCs w:val="20"/>
              </w:rPr>
              <w:t>Stādāmais materiāls</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Kopā </w:t>
            </w:r>
          </w:p>
        </w:tc>
      </w:tr>
      <w:tr w:rsidR="006F319C" w:rsidRPr="00376E4F" w:rsidTr="006F319C">
        <w:trPr>
          <w:trHeight w:val="582"/>
        </w:trPr>
        <w:tc>
          <w:tcPr>
            <w:tcW w:w="1706" w:type="pct"/>
            <w:shd w:val="clear" w:color="auto" w:fill="auto"/>
          </w:tcPr>
          <w:p w:rsidR="006F319C" w:rsidRPr="00376E4F" w:rsidRDefault="006F319C" w:rsidP="006F319C">
            <w:pPr>
              <w:widowControl w:val="0"/>
              <w:spacing w:line="285" w:lineRule="auto"/>
              <w:rPr>
                <w:rFonts w:asciiTheme="minorHAnsi" w:hAnsiTheme="minorHAnsi"/>
                <w:sz w:val="20"/>
                <w:szCs w:val="20"/>
              </w:rPr>
            </w:pPr>
            <w:r w:rsidRPr="00376E4F">
              <w:rPr>
                <w:rFonts w:asciiTheme="minorHAnsi" w:hAnsiTheme="minorHAnsi"/>
                <w:sz w:val="20"/>
                <w:szCs w:val="20"/>
              </w:rPr>
              <w:t>Pārbaudīto saimniecību skaits</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30</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35</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17</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138</w:t>
            </w:r>
          </w:p>
        </w:tc>
      </w:tr>
      <w:tr w:rsidR="006F319C" w:rsidRPr="00376E4F" w:rsidTr="006F319C">
        <w:trPr>
          <w:trHeight w:val="283"/>
        </w:trPr>
        <w:tc>
          <w:tcPr>
            <w:tcW w:w="1706" w:type="pct"/>
            <w:shd w:val="clear" w:color="auto" w:fill="auto"/>
          </w:tcPr>
          <w:p w:rsidR="006F319C" w:rsidRPr="00376E4F" w:rsidRDefault="006F319C" w:rsidP="006F319C">
            <w:pPr>
              <w:widowControl w:val="0"/>
              <w:spacing w:line="285" w:lineRule="auto"/>
              <w:rPr>
                <w:rFonts w:asciiTheme="minorHAnsi" w:hAnsiTheme="minorHAnsi"/>
                <w:sz w:val="20"/>
                <w:szCs w:val="20"/>
              </w:rPr>
            </w:pPr>
            <w:r w:rsidRPr="00376E4F">
              <w:rPr>
                <w:rFonts w:asciiTheme="minorHAnsi" w:hAnsiTheme="minorHAnsi"/>
                <w:sz w:val="20"/>
                <w:szCs w:val="20"/>
              </w:rPr>
              <w:t>Pārbaudītā platība, ha</w:t>
            </w:r>
          </w:p>
        </w:tc>
        <w:tc>
          <w:tcPr>
            <w:tcW w:w="790" w:type="pct"/>
            <w:shd w:val="clear" w:color="auto" w:fill="auto"/>
          </w:tcPr>
          <w:p w:rsidR="006F319C" w:rsidRPr="00376E4F" w:rsidRDefault="006F319C" w:rsidP="006F319C">
            <w:pPr>
              <w:widowControl w:val="0"/>
              <w:tabs>
                <w:tab w:val="left" w:pos="315"/>
                <w:tab w:val="center" w:pos="792"/>
              </w:tabs>
              <w:spacing w:line="285" w:lineRule="auto"/>
              <w:jc w:val="center"/>
              <w:rPr>
                <w:rFonts w:asciiTheme="minorHAnsi" w:hAnsiTheme="minorHAnsi"/>
                <w:sz w:val="20"/>
                <w:szCs w:val="20"/>
              </w:rPr>
            </w:pPr>
            <w:r w:rsidRPr="00376E4F">
              <w:rPr>
                <w:rFonts w:asciiTheme="minorHAnsi" w:hAnsiTheme="minorHAnsi"/>
                <w:sz w:val="20"/>
                <w:szCs w:val="20"/>
              </w:rPr>
              <w:t>768,16</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205,97</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27,744</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1168,46</w:t>
            </w:r>
          </w:p>
        </w:tc>
      </w:tr>
      <w:tr w:rsidR="006F319C" w:rsidRPr="00376E4F" w:rsidTr="006F319C">
        <w:trPr>
          <w:trHeight w:val="283"/>
        </w:trPr>
        <w:tc>
          <w:tcPr>
            <w:tcW w:w="1706" w:type="pct"/>
            <w:shd w:val="clear" w:color="auto" w:fill="auto"/>
          </w:tcPr>
          <w:p w:rsidR="006F319C" w:rsidRPr="00376E4F" w:rsidRDefault="006F319C" w:rsidP="006F319C">
            <w:pPr>
              <w:widowControl w:val="0"/>
              <w:spacing w:line="285" w:lineRule="auto"/>
              <w:rPr>
                <w:rFonts w:asciiTheme="minorHAnsi" w:hAnsiTheme="minorHAnsi"/>
                <w:sz w:val="20"/>
                <w:szCs w:val="20"/>
              </w:rPr>
            </w:pPr>
            <w:r w:rsidRPr="00376E4F">
              <w:rPr>
                <w:rFonts w:asciiTheme="minorHAnsi" w:hAnsiTheme="minorHAnsi"/>
                <w:sz w:val="20"/>
                <w:szCs w:val="20"/>
              </w:rPr>
              <w:t>Noņemto paraugu skaits</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791</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140</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41</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972</w:t>
            </w:r>
          </w:p>
        </w:tc>
      </w:tr>
      <w:tr w:rsidR="006F319C" w:rsidRPr="00376E4F" w:rsidTr="006F319C">
        <w:trPr>
          <w:trHeight w:val="283"/>
        </w:trPr>
        <w:tc>
          <w:tcPr>
            <w:tcW w:w="1706" w:type="pct"/>
            <w:shd w:val="clear" w:color="auto" w:fill="auto"/>
          </w:tcPr>
          <w:p w:rsidR="006F319C" w:rsidRPr="00376E4F" w:rsidRDefault="006F319C" w:rsidP="006F319C">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Invadēto</w:t>
            </w:r>
            <w:proofErr w:type="spellEnd"/>
            <w:r w:rsidRPr="00376E4F">
              <w:rPr>
                <w:rFonts w:asciiTheme="minorHAnsi" w:hAnsiTheme="minorHAnsi"/>
                <w:sz w:val="20"/>
                <w:szCs w:val="20"/>
              </w:rPr>
              <w:t xml:space="preserve"> saimniecību skaits</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5</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8</w:t>
            </w:r>
          </w:p>
        </w:tc>
      </w:tr>
      <w:tr w:rsidR="006F319C" w:rsidRPr="00376E4F" w:rsidTr="006F319C">
        <w:trPr>
          <w:trHeight w:val="299"/>
        </w:trPr>
        <w:tc>
          <w:tcPr>
            <w:tcW w:w="1706" w:type="pct"/>
            <w:shd w:val="clear" w:color="auto" w:fill="auto"/>
          </w:tcPr>
          <w:p w:rsidR="006F319C" w:rsidRPr="00376E4F" w:rsidRDefault="006F319C" w:rsidP="006F319C">
            <w:pPr>
              <w:widowControl w:val="0"/>
              <w:spacing w:line="285" w:lineRule="auto"/>
              <w:rPr>
                <w:rFonts w:asciiTheme="minorHAnsi" w:hAnsiTheme="minorHAnsi"/>
                <w:sz w:val="20"/>
                <w:szCs w:val="20"/>
              </w:rPr>
            </w:pPr>
            <w:proofErr w:type="spellStart"/>
            <w:r w:rsidRPr="00376E4F">
              <w:rPr>
                <w:rFonts w:asciiTheme="minorHAnsi" w:hAnsiTheme="minorHAnsi"/>
                <w:sz w:val="20"/>
                <w:szCs w:val="20"/>
              </w:rPr>
              <w:t>Invadētā</w:t>
            </w:r>
            <w:proofErr w:type="spellEnd"/>
            <w:r w:rsidRPr="00376E4F">
              <w:rPr>
                <w:rFonts w:asciiTheme="minorHAnsi" w:hAnsiTheme="minorHAnsi"/>
                <w:sz w:val="20"/>
                <w:szCs w:val="20"/>
              </w:rPr>
              <w:t xml:space="preserve"> platība, ha</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71,90</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3,8</w:t>
            </w:r>
          </w:p>
        </w:tc>
        <w:tc>
          <w:tcPr>
            <w:tcW w:w="857"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0</w:t>
            </w:r>
          </w:p>
        </w:tc>
        <w:tc>
          <w:tcPr>
            <w:tcW w:w="790" w:type="pct"/>
            <w:shd w:val="clear" w:color="auto" w:fill="auto"/>
          </w:tcPr>
          <w:p w:rsidR="006F319C" w:rsidRPr="00376E4F" w:rsidRDefault="006F319C" w:rsidP="006F319C">
            <w:pPr>
              <w:widowControl w:val="0"/>
              <w:spacing w:line="285" w:lineRule="auto"/>
              <w:jc w:val="center"/>
              <w:rPr>
                <w:rFonts w:asciiTheme="minorHAnsi" w:hAnsiTheme="minorHAnsi"/>
                <w:sz w:val="20"/>
                <w:szCs w:val="20"/>
              </w:rPr>
            </w:pPr>
            <w:r w:rsidRPr="00376E4F">
              <w:rPr>
                <w:rFonts w:asciiTheme="minorHAnsi" w:hAnsiTheme="minorHAnsi"/>
                <w:sz w:val="20"/>
                <w:szCs w:val="20"/>
              </w:rPr>
              <w:t>75,7</w:t>
            </w:r>
          </w:p>
        </w:tc>
      </w:tr>
    </w:tbl>
    <w:p w:rsidR="001302C2" w:rsidRPr="001302C2" w:rsidRDefault="001302C2" w:rsidP="001302C2">
      <w:pPr>
        <w:widowControl w:val="0"/>
        <w:spacing w:before="120"/>
        <w:jc w:val="both"/>
        <w:rPr>
          <w:rFonts w:asciiTheme="minorHAnsi" w:hAnsiTheme="minorHAnsi"/>
        </w:rPr>
      </w:pPr>
      <w:r w:rsidRPr="001302C2">
        <w:rPr>
          <w:rFonts w:asciiTheme="minorHAnsi" w:hAnsiTheme="minorHAnsi"/>
        </w:rPr>
        <w:t xml:space="preserve">Veģetācijas periodā veiktas 90 pārbaudes saimniecībās, kurās iepriekšējos gados konstatēta zeltītā kartupeļu cistu nematode, 233,0205  ha platībā, lai pārbaudītu, vai tiek ievēroti noteiktie fitosanitārie pasākumi. 24 saimniecībās no </w:t>
      </w:r>
      <w:proofErr w:type="spellStart"/>
      <w:r w:rsidRPr="001302C2">
        <w:rPr>
          <w:rFonts w:asciiTheme="minorHAnsi" w:hAnsiTheme="minorHAnsi"/>
        </w:rPr>
        <w:t>invadētajiem</w:t>
      </w:r>
      <w:proofErr w:type="spellEnd"/>
      <w:r w:rsidRPr="001302C2">
        <w:rPr>
          <w:rFonts w:asciiTheme="minorHAnsi" w:hAnsiTheme="minorHAnsi"/>
        </w:rPr>
        <w:t xml:space="preserve"> laukiem 70,0154 ha platībā noņemts 81 augsnes paraugs. </w:t>
      </w:r>
    </w:p>
    <w:p w:rsidR="001302C2" w:rsidRPr="001302C2" w:rsidRDefault="001302C2" w:rsidP="001302C2">
      <w:pPr>
        <w:widowControl w:val="0"/>
        <w:spacing w:before="120"/>
        <w:jc w:val="both"/>
        <w:rPr>
          <w:rFonts w:asciiTheme="minorHAnsi" w:hAnsiTheme="minorHAnsi"/>
        </w:rPr>
      </w:pPr>
      <w:r w:rsidRPr="001302C2">
        <w:rPr>
          <w:rFonts w:asciiTheme="minorHAnsi" w:hAnsiTheme="minorHAnsi"/>
        </w:rPr>
        <w:t xml:space="preserve">Deviņu saimniecību vienpadsmit laukos 40,15 ha platībā zeltītā kartupeļu cistu nematode konstatēta atkārtoti, līdz ar to iepriekš noteikti fitosanitārie pasākumi šīm saimniecībām jāievēro vismaz vēl trīs nākamos gadus, kad atkal varēs noņemt augsnes paraugus un veikt laboratorisko testēšanu. Turpmāka fitosanitāro pasākumu piemērošana atcelta 10 saimniecībās 12,283 ha platībā, jo noņemtajos augsnes paraugos dzīvas nematožu cistas netika </w:t>
      </w:r>
    </w:p>
    <w:p w:rsidR="002838F2" w:rsidRDefault="002838F2" w:rsidP="00511419">
      <w:pPr>
        <w:spacing w:before="120"/>
        <w:ind w:firstLine="720"/>
        <w:jc w:val="both"/>
        <w:rPr>
          <w:rFonts w:asciiTheme="minorHAnsi" w:hAnsiTheme="minorHAnsi"/>
        </w:rPr>
      </w:pPr>
    </w:p>
    <w:p w:rsidR="007E5A1B" w:rsidRDefault="007E5A1B" w:rsidP="00511419">
      <w:pPr>
        <w:spacing w:before="120"/>
        <w:ind w:firstLine="720"/>
        <w:jc w:val="both"/>
        <w:rPr>
          <w:rFonts w:asciiTheme="minorHAnsi" w:hAnsiTheme="minorHAnsi"/>
        </w:rPr>
      </w:pPr>
    </w:p>
    <w:p w:rsidR="002838F2" w:rsidRPr="001302C2" w:rsidRDefault="002838F2" w:rsidP="001302C2">
      <w:pPr>
        <w:widowControl w:val="0"/>
        <w:shd w:val="clear" w:color="auto" w:fill="EAF1DD" w:themeFill="accent3" w:themeFillTint="33"/>
        <w:spacing w:before="120"/>
        <w:jc w:val="both"/>
        <w:rPr>
          <w:rFonts w:asciiTheme="minorHAnsi" w:hAnsiTheme="minorHAnsi"/>
          <w:sz w:val="28"/>
        </w:rPr>
      </w:pPr>
      <w:r w:rsidRPr="001302C2">
        <w:rPr>
          <w:rFonts w:asciiTheme="minorHAnsi" w:hAnsiTheme="minorHAnsi"/>
          <w:sz w:val="28"/>
        </w:rPr>
        <w:lastRenderedPageBreak/>
        <w:t>Valsts uzraudzība pār fitosanitāro stāvokli Latvijā</w:t>
      </w:r>
      <w:bookmarkEnd w:id="23"/>
      <w:r w:rsidRPr="001302C2">
        <w:rPr>
          <w:rFonts w:asciiTheme="minorHAnsi" w:hAnsiTheme="minorHAnsi"/>
          <w:sz w:val="28"/>
        </w:rPr>
        <w:t>. Augu karantīnas organismu un sevišķi bīstamo kaitīgo organismu uzraudzība</w:t>
      </w:r>
    </w:p>
    <w:p w:rsidR="002838F2" w:rsidRPr="004E6BD8" w:rsidRDefault="002838F2" w:rsidP="00511419">
      <w:pPr>
        <w:spacing w:before="120"/>
        <w:rPr>
          <w:rFonts w:asciiTheme="minorHAnsi" w:hAnsiTheme="minorHAnsi"/>
          <w:b/>
        </w:rPr>
      </w:pP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Pārbaudes vispārējā fitosanitārā stāvokļa noteikšanai tiek veiktas gan stādāmā un pavairojamā materiāla audzēšanas vietās, gan ražojošajos stādījumos, kā arī citās vietās, kur būtu iespējams izplatīties augu karantīnas vai citiem sevišķi bīstamajiem augu kaitīgajiem organismiem. Tāpat tiek veiktas pārbaudes konkrētu augu kaitīgo organismu izplatības noteikšanai, pievēršot īpašu uzmanību šo organismu saimniekaugiem.</w:t>
      </w:r>
    </w:p>
    <w:p w:rsidR="00427506" w:rsidRPr="00427506" w:rsidRDefault="00427506" w:rsidP="00427506">
      <w:pPr>
        <w:widowControl w:val="0"/>
        <w:spacing w:before="120"/>
        <w:jc w:val="both"/>
        <w:rPr>
          <w:rFonts w:asciiTheme="minorHAnsi" w:hAnsiTheme="minorHAnsi"/>
          <w:b/>
        </w:rPr>
      </w:pPr>
      <w:r w:rsidRPr="00427506">
        <w:rPr>
          <w:rFonts w:asciiTheme="minorHAnsi" w:hAnsiTheme="minorHAnsi"/>
          <w:b/>
        </w:rPr>
        <w:t>Botāniskie dārzi</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Botāniskajos dārzos ir plašas kolekcijas, kas pastāvīgi tiek papildinātas. Tamdēļ ir svarīgi pārbaudīt, lai šajās kolekcijās augošie augi ir veseli un tajos nav augu karantīnas organismu. 2012. gadā veiktas četras pārbaudes abos Latvijas Botāniskajos dārzos – pa divām pārbaudēm gan Latvijas Universitātes Botāniskajā dārzā Rīgā piecas pārbaudes, gan Nacionālajā Botāniskajā dārzā Salaspilī. Kopā apsekota 44,5 ha platība ar dažādiem stādījumiem – rododendriem, rozēm, skuju kokiem, dažādiem bakteriālās iedegas saimniekaugiem, noņemti 16 paraugi. </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Veicot pārbaudes, konstatēts Latvijai jauns augu karantīnas organisms </w:t>
      </w:r>
      <w:proofErr w:type="spellStart"/>
      <w:r w:rsidRPr="00427506">
        <w:rPr>
          <w:rFonts w:asciiTheme="minorHAnsi" w:hAnsiTheme="minorHAnsi"/>
        </w:rPr>
        <w:t>Mycosphaerella</w:t>
      </w:r>
      <w:proofErr w:type="spellEnd"/>
      <w:r w:rsidRPr="00427506">
        <w:rPr>
          <w:rFonts w:asciiTheme="minorHAnsi" w:hAnsiTheme="minorHAnsi"/>
        </w:rPr>
        <w:t xml:space="preserve"> </w:t>
      </w:r>
      <w:proofErr w:type="spellStart"/>
      <w:r w:rsidRPr="00427506">
        <w:rPr>
          <w:rFonts w:asciiTheme="minorHAnsi" w:hAnsiTheme="minorHAnsi"/>
        </w:rPr>
        <w:t>dearnessii</w:t>
      </w:r>
      <w:proofErr w:type="spellEnd"/>
      <w:r w:rsidRPr="00427506">
        <w:rPr>
          <w:rFonts w:asciiTheme="minorHAnsi" w:hAnsiTheme="minorHAnsi"/>
        </w:rPr>
        <w:t xml:space="preserve"> </w:t>
      </w:r>
      <w:proofErr w:type="spellStart"/>
      <w:r w:rsidRPr="00427506">
        <w:rPr>
          <w:rFonts w:asciiTheme="minorHAnsi" w:hAnsiTheme="minorHAnsi"/>
        </w:rPr>
        <w:t>M.E.Barr</w:t>
      </w:r>
      <w:proofErr w:type="spellEnd"/>
      <w:r w:rsidRPr="00427506">
        <w:rPr>
          <w:rFonts w:asciiTheme="minorHAnsi" w:hAnsiTheme="minorHAnsi"/>
        </w:rPr>
        <w:t xml:space="preserve">), kas izraisa priežu </w:t>
      </w:r>
      <w:proofErr w:type="spellStart"/>
      <w:r w:rsidRPr="00427506">
        <w:rPr>
          <w:rFonts w:asciiTheme="minorHAnsi" w:hAnsiTheme="minorHAnsi"/>
        </w:rPr>
        <w:t>brūnplankumu</w:t>
      </w:r>
      <w:proofErr w:type="spellEnd"/>
      <w:r w:rsidRPr="00427506">
        <w:rPr>
          <w:rFonts w:asciiTheme="minorHAnsi" w:hAnsiTheme="minorHAnsi"/>
        </w:rPr>
        <w:t xml:space="preserve"> skujbiri. </w:t>
      </w:r>
      <w:proofErr w:type="spellStart"/>
      <w:r w:rsidRPr="00427506">
        <w:rPr>
          <w:rFonts w:asciiTheme="minorHAnsi" w:hAnsiTheme="minorHAnsi"/>
        </w:rPr>
        <w:t>Mycosphaerella</w:t>
      </w:r>
      <w:proofErr w:type="spellEnd"/>
      <w:r w:rsidRPr="00427506">
        <w:rPr>
          <w:rFonts w:asciiTheme="minorHAnsi" w:hAnsiTheme="minorHAnsi"/>
        </w:rPr>
        <w:t xml:space="preserve"> </w:t>
      </w:r>
      <w:proofErr w:type="spellStart"/>
      <w:r w:rsidRPr="00427506">
        <w:rPr>
          <w:rFonts w:asciiTheme="minorHAnsi" w:hAnsiTheme="minorHAnsi"/>
        </w:rPr>
        <w:t>dearnessii</w:t>
      </w:r>
      <w:proofErr w:type="spellEnd"/>
      <w:r w:rsidRPr="00427506">
        <w:rPr>
          <w:rFonts w:asciiTheme="minorHAnsi" w:hAnsiTheme="minorHAnsi"/>
        </w:rPr>
        <w:t xml:space="preserve"> konstatēta 23 gadus vecai klājeniskajai priedei </w:t>
      </w:r>
      <w:proofErr w:type="spellStart"/>
      <w:r w:rsidRPr="00427506">
        <w:rPr>
          <w:rFonts w:asciiTheme="minorHAnsi" w:hAnsiTheme="minorHAnsi"/>
        </w:rPr>
        <w:t>Pinus</w:t>
      </w:r>
      <w:proofErr w:type="spellEnd"/>
      <w:r w:rsidRPr="00427506">
        <w:rPr>
          <w:rFonts w:asciiTheme="minorHAnsi" w:hAnsiTheme="minorHAnsi"/>
        </w:rPr>
        <w:t xml:space="preserve"> </w:t>
      </w:r>
      <w:proofErr w:type="spellStart"/>
      <w:r w:rsidRPr="00427506">
        <w:rPr>
          <w:rFonts w:asciiTheme="minorHAnsi" w:hAnsiTheme="minorHAnsi"/>
        </w:rPr>
        <w:t>pumila</w:t>
      </w:r>
      <w:proofErr w:type="spellEnd"/>
      <w:r w:rsidRPr="00427506">
        <w:rPr>
          <w:rFonts w:asciiTheme="minorHAnsi" w:hAnsiTheme="minorHAnsi"/>
        </w:rPr>
        <w:t xml:space="preserve"> (vienam augam) dendrārijā. Tā kā šis koks ir vērtīgs dendrārija eksemplārs ar īpašu tā izcelsmes vēsturi, tad tika nolemts augu neiznīcināt, bet piemērot fitosanitārie pasākumus, lai ierobežotu slimības tālāku izplatību. Nākamajā gadā plānots veikt intensīvu apsekojumu visā Botāniskā dārza teritorijā, lai pārliecinātos, vai slimība tomēr nav izplatījusies plašāk.</w:t>
      </w:r>
    </w:p>
    <w:p w:rsidR="00427506" w:rsidRPr="00427506" w:rsidRDefault="00427506" w:rsidP="00427506">
      <w:pPr>
        <w:widowControl w:val="0"/>
        <w:spacing w:before="120"/>
        <w:jc w:val="both"/>
        <w:rPr>
          <w:rFonts w:asciiTheme="minorHAnsi" w:hAnsiTheme="minorHAnsi"/>
          <w:b/>
        </w:rPr>
      </w:pPr>
      <w:r w:rsidRPr="00427506">
        <w:rPr>
          <w:rFonts w:asciiTheme="minorHAnsi" w:hAnsiTheme="minorHAnsi"/>
          <w:b/>
        </w:rPr>
        <w:t xml:space="preserve">Plūmju virālās bakas </w:t>
      </w:r>
      <w:proofErr w:type="spellStart"/>
      <w:r w:rsidRPr="00427506">
        <w:rPr>
          <w:rFonts w:asciiTheme="minorHAnsi" w:hAnsiTheme="minorHAnsi"/>
          <w:b/>
        </w:rPr>
        <w:t>Plum</w:t>
      </w:r>
      <w:proofErr w:type="spellEnd"/>
      <w:r w:rsidRPr="00427506">
        <w:rPr>
          <w:rFonts w:asciiTheme="minorHAnsi" w:hAnsiTheme="minorHAnsi"/>
          <w:b/>
        </w:rPr>
        <w:t xml:space="preserve"> </w:t>
      </w:r>
      <w:proofErr w:type="spellStart"/>
      <w:r w:rsidRPr="00427506">
        <w:rPr>
          <w:rFonts w:asciiTheme="minorHAnsi" w:hAnsiTheme="minorHAnsi"/>
          <w:b/>
        </w:rPr>
        <w:t>pox</w:t>
      </w:r>
      <w:proofErr w:type="spellEnd"/>
      <w:r w:rsidRPr="00427506">
        <w:rPr>
          <w:rFonts w:asciiTheme="minorHAnsi" w:hAnsiTheme="minorHAnsi"/>
          <w:b/>
        </w:rPr>
        <w:t xml:space="preserve"> </w:t>
      </w:r>
      <w:proofErr w:type="spellStart"/>
      <w:r w:rsidRPr="00427506">
        <w:rPr>
          <w:rFonts w:asciiTheme="minorHAnsi" w:hAnsiTheme="minorHAnsi"/>
          <w:b/>
        </w:rPr>
        <w:t>virus</w:t>
      </w:r>
      <w:proofErr w:type="spellEnd"/>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2012.gadā pārbaudes veiktas stādaudzētavās gan stādiem, gan arī mātes augiem,  ražojošajos dārzos – gan mazajos piemājas, gan lielajos </w:t>
      </w:r>
      <w:proofErr w:type="spellStart"/>
      <w:r w:rsidRPr="00427506">
        <w:rPr>
          <w:rFonts w:asciiTheme="minorHAnsi" w:hAnsiTheme="minorHAnsi"/>
        </w:rPr>
        <w:t>komercdārzos</w:t>
      </w:r>
      <w:proofErr w:type="spellEnd"/>
      <w:r w:rsidRPr="00427506">
        <w:rPr>
          <w:rFonts w:asciiTheme="minorHAnsi" w:hAnsiTheme="minorHAnsi"/>
        </w:rPr>
        <w:t xml:space="preserve">. Tāpat pārbaudīti </w:t>
      </w:r>
      <w:proofErr w:type="spellStart"/>
      <w:r w:rsidRPr="00427506">
        <w:rPr>
          <w:rFonts w:asciiTheme="minorHAnsi" w:hAnsiTheme="minorHAnsi"/>
        </w:rPr>
        <w:t>konteinerstādi</w:t>
      </w:r>
      <w:proofErr w:type="spellEnd"/>
      <w:r w:rsidRPr="00427506">
        <w:rPr>
          <w:rFonts w:asciiTheme="minorHAnsi" w:hAnsiTheme="minorHAnsi"/>
        </w:rPr>
        <w:t xml:space="preserve"> stādaudzētavās un tirdzniecības vietās. Kopā veiktas 25 pārbaudes, kurās pārbaudīti dažādi saimniekaugi  -  plūmes, ķirši, persiki, aprikozes. Kopā noņemti 10 paraugi. Plūmju virālās bakas netika konstatētas.</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Tā kā iepriekšējos divos gados uzraudzības pārbaudēs 2009.gada perēklī plūmju virālās bakas netika konstatētas, tad perēkļa statuss šai saimniecībai ir noņemts. </w:t>
      </w:r>
    </w:p>
    <w:p w:rsidR="00427506" w:rsidRPr="00427506" w:rsidRDefault="00427506" w:rsidP="00427506">
      <w:pPr>
        <w:widowControl w:val="0"/>
        <w:spacing w:before="120"/>
        <w:jc w:val="both"/>
        <w:rPr>
          <w:rFonts w:asciiTheme="minorHAnsi" w:hAnsiTheme="minorHAnsi"/>
          <w:b/>
        </w:rPr>
      </w:pPr>
      <w:bookmarkStart w:id="24" w:name="_Toc202942439"/>
      <w:bookmarkStart w:id="25" w:name="_Toc204739238"/>
      <w:r w:rsidRPr="00427506">
        <w:rPr>
          <w:rFonts w:asciiTheme="minorHAnsi" w:hAnsiTheme="minorHAnsi"/>
          <w:b/>
        </w:rPr>
        <w:t xml:space="preserve">Kartupeļu vēzis </w:t>
      </w:r>
      <w:proofErr w:type="spellStart"/>
      <w:r w:rsidRPr="00427506">
        <w:rPr>
          <w:rFonts w:asciiTheme="minorHAnsi" w:hAnsiTheme="minorHAnsi"/>
          <w:b/>
        </w:rPr>
        <w:t>Synchytrium</w:t>
      </w:r>
      <w:proofErr w:type="spellEnd"/>
      <w:r w:rsidRPr="00427506">
        <w:rPr>
          <w:rFonts w:asciiTheme="minorHAnsi" w:hAnsiTheme="minorHAnsi"/>
          <w:b/>
        </w:rPr>
        <w:t xml:space="preserve"> </w:t>
      </w:r>
      <w:proofErr w:type="spellStart"/>
      <w:r w:rsidRPr="00427506">
        <w:rPr>
          <w:rFonts w:asciiTheme="minorHAnsi" w:hAnsiTheme="minorHAnsi"/>
          <w:b/>
        </w:rPr>
        <w:t>endobioticum</w:t>
      </w:r>
      <w:proofErr w:type="spellEnd"/>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Kartupeļu vēža ierosinātājs augsnē var saglabāties pat 20 un vairāk gadus. Latvijā šī sēne pirmo reizi konstatēta 1948.gadā. Pašlaik mūsu valsts teritorijā ir septiņi kartupeļu vēža perēkļi 1,93 ha platībā. Tajos katru gadu tiek veiktas pārbaudes, lai pārliecinātos, vai tiek ievēroti fitosanitārie pasākumi – netiek audzēti kartupeļi un stādīšanai paredzētais materiāls. </w:t>
      </w:r>
    </w:p>
    <w:bookmarkEnd w:id="24"/>
    <w:bookmarkEnd w:id="25"/>
    <w:p w:rsidR="00427506" w:rsidRPr="00427506" w:rsidRDefault="00427506" w:rsidP="00427506">
      <w:pPr>
        <w:widowControl w:val="0"/>
        <w:spacing w:before="120"/>
        <w:jc w:val="both"/>
        <w:rPr>
          <w:rFonts w:asciiTheme="minorHAnsi" w:hAnsiTheme="minorHAnsi"/>
          <w:b/>
        </w:rPr>
      </w:pPr>
      <w:r w:rsidRPr="00427506">
        <w:rPr>
          <w:rFonts w:asciiTheme="minorHAnsi" w:hAnsiTheme="minorHAnsi"/>
          <w:b/>
        </w:rPr>
        <w:t>Kartupeļu gaišā gredzenpuve</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Jau no 1998.gada </w:t>
      </w:r>
      <w:r w:rsidR="00DB586F">
        <w:rPr>
          <w:rFonts w:asciiTheme="minorHAnsi" w:hAnsiTheme="minorHAnsi"/>
        </w:rPr>
        <w:t>VAAD</w:t>
      </w:r>
      <w:r w:rsidRPr="00427506">
        <w:rPr>
          <w:rFonts w:asciiTheme="minorHAnsi" w:hAnsiTheme="minorHAnsi"/>
        </w:rPr>
        <w:t xml:space="preserve"> veic pārbaudes kartupeļu gaišās gredzenpuves izplatības noteikšanai. Pirmos gadus </w:t>
      </w:r>
      <w:r w:rsidR="00DB586F">
        <w:rPr>
          <w:rFonts w:asciiTheme="minorHAnsi" w:hAnsiTheme="minorHAnsi"/>
        </w:rPr>
        <w:t>VAAD</w:t>
      </w:r>
      <w:r w:rsidRPr="00427506">
        <w:rPr>
          <w:rFonts w:asciiTheme="minorHAnsi" w:hAnsiTheme="minorHAnsi"/>
        </w:rPr>
        <w:t xml:space="preserve"> pārbaudīja tikai kartupeļu sēklaudzēšanas saimniecības, jo sēklas materiāls ir viens no galvenajiem šīs slimības izplatīšanas veidiem. 2003.gadā </w:t>
      </w:r>
      <w:r w:rsidR="00DB586F">
        <w:rPr>
          <w:rFonts w:asciiTheme="minorHAnsi" w:hAnsiTheme="minorHAnsi"/>
        </w:rPr>
        <w:t>VAAD</w:t>
      </w:r>
      <w:r w:rsidRPr="00427506">
        <w:rPr>
          <w:rFonts w:asciiTheme="minorHAnsi" w:hAnsiTheme="minorHAnsi"/>
        </w:rPr>
        <w:t xml:space="preserve"> uzsāka arī intensīvas pārtikas kartupeļu audzētāju saimniecību pārbaudes, pārbaudot 119 kartupeļu audzēšanas saimniecības. Kartupeļu gaišā gredzenpuve tika konstatēta 16 saimniecībās (15 % no pārbaudītajām saimniecībām).</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lastRenderedPageBreak/>
        <w:t xml:space="preserve">Arī turpmāk ik gadu tika veiktas pārbaudes gan kartupeļu sēklaudzēšanas, gan pārtikas kartupeļu audzēšanas saimniecībās. Pārbaužu laikā noņemto paraugu testēšanas pārskatu rezultāti liecināja, ka vidēji 12 – 16% no pārbaudītajām kartupeļu audzēšanas saimniecībām konstatēta kartupeļu gaišā gredzenpuve. </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2012.gadā </w:t>
      </w:r>
      <w:r w:rsidR="00DB586F">
        <w:rPr>
          <w:rFonts w:asciiTheme="minorHAnsi" w:hAnsiTheme="minorHAnsi"/>
        </w:rPr>
        <w:t>VAAD</w:t>
      </w:r>
      <w:r w:rsidRPr="00427506">
        <w:rPr>
          <w:rFonts w:asciiTheme="minorHAnsi" w:hAnsiTheme="minorHAnsi"/>
        </w:rPr>
        <w:t xml:space="preserve"> kopā pārbaudīja 320 kartupeļu audzēšanas saimniecības, kurās noņēma kartupeļu bumbuļu paraugus – tai skaitā 26 kartupeļu sēklaudzēšanas saimniecības, 267 pārtikas un pārstrādes kartupeļu audzēšanas saimniecības un 27 nereģistrētās kartupeļu audzēšanas saimniecības. Noņemti 140 sēklas kartupeļu paraugi,  618 pārtikas kartupeļu un 63 pārstrādei paredzēto kartupeļu paraugi. Veicot pārbaudi tika konstatēts, ka 32 saimniecības ar kartupeļu audzēšanu vairs nenodarbojas.</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Kartupeļu gaišā gredzenpuve pirmo reizi konstatēta 17 saimniecībās, kas ir 5,3% no pārbaudītajām saimniecībām. Divas saimniecības ir izmantojuša kartupeļu audzēšanas tehniku un kartupeļu glabātuvi kopā ar inficēto saimniecību, tādējādi šīs saimniecības tiek atzīta par iespējami inficētām. No inficētajām 17 saimniecībām, 7 saimniecības ir nereģistrētās (t.i. mazās saimniecības, kuras kartupeļus audzē pašu patēriņam) , kuras neatjauno sēklas materiālu ar sertificētu sēklu, bet daudzus gadus stādīšanai izmanto pašu saimniecībā no pārtikas kartupeļiem atlasīto stādāmo materiālu. .</w:t>
      </w:r>
    </w:p>
    <w:p w:rsidR="00427506" w:rsidRPr="00427506" w:rsidRDefault="00DB586F" w:rsidP="00427506">
      <w:pPr>
        <w:widowControl w:val="0"/>
        <w:spacing w:before="120"/>
        <w:jc w:val="both"/>
        <w:rPr>
          <w:rFonts w:asciiTheme="minorHAnsi" w:hAnsiTheme="minorHAnsi"/>
        </w:rPr>
      </w:pPr>
      <w:r>
        <w:rPr>
          <w:rFonts w:asciiTheme="minorHAnsi" w:hAnsiTheme="minorHAnsi"/>
        </w:rPr>
        <w:t>VAAD</w:t>
      </w:r>
      <w:r w:rsidR="00427506" w:rsidRPr="00427506">
        <w:rPr>
          <w:rFonts w:asciiTheme="minorHAnsi" w:hAnsiTheme="minorHAnsi"/>
        </w:rPr>
        <w:t xml:space="preserve"> veica 23</w:t>
      </w:r>
      <w:r>
        <w:rPr>
          <w:rFonts w:asciiTheme="minorHAnsi" w:hAnsiTheme="minorHAnsi"/>
        </w:rPr>
        <w:t xml:space="preserve"> </w:t>
      </w:r>
      <w:r w:rsidR="00427506" w:rsidRPr="00427506">
        <w:rPr>
          <w:rFonts w:asciiTheme="minorHAnsi" w:hAnsiTheme="minorHAnsi"/>
        </w:rPr>
        <w:t>pārbaudes saimniecībās, kurās 2011. un 2012.gada kartupeļu ražā konstatēta kartupeļu gaišā gredzenpuve, lai konstatētu situāciju pēc testēšanas rezultātu saņemšanas par kartupeļu gaišās gredzenpuves apstiprināšanu paraugā un piemērotu konkrētus fitosanitāros pasākumus.</w:t>
      </w:r>
    </w:p>
    <w:p w:rsidR="00427506" w:rsidRPr="00427506" w:rsidRDefault="00427506" w:rsidP="00427506">
      <w:pPr>
        <w:widowControl w:val="0"/>
        <w:spacing w:before="120"/>
        <w:jc w:val="both"/>
        <w:rPr>
          <w:rFonts w:asciiTheme="minorHAnsi" w:hAnsiTheme="minorHAnsi"/>
        </w:rPr>
      </w:pPr>
      <w:r w:rsidRPr="00427506">
        <w:rPr>
          <w:rFonts w:asciiTheme="minorHAnsi" w:hAnsiTheme="minorHAnsi"/>
        </w:rPr>
        <w:t xml:space="preserve">Lai pārbaudītu, kā saimniecības, kurās iepriekšējos gados ir konstatēta kartupeļu gaišā gredzenpuve, ievēro noteiktos fitosanitāros pasākumus, </w:t>
      </w:r>
      <w:r w:rsidR="00DB586F">
        <w:rPr>
          <w:rFonts w:asciiTheme="minorHAnsi" w:hAnsiTheme="minorHAnsi"/>
        </w:rPr>
        <w:t>VAAD</w:t>
      </w:r>
      <w:r w:rsidRPr="00427506">
        <w:rPr>
          <w:rFonts w:asciiTheme="minorHAnsi" w:hAnsiTheme="minorHAnsi"/>
        </w:rPr>
        <w:t xml:space="preserve"> veica:</w:t>
      </w:r>
    </w:p>
    <w:p w:rsidR="00427506" w:rsidRPr="00427506" w:rsidRDefault="00427506" w:rsidP="001234C1">
      <w:pPr>
        <w:pStyle w:val="ListParagraph"/>
        <w:widowControl w:val="0"/>
        <w:numPr>
          <w:ilvl w:val="0"/>
          <w:numId w:val="13"/>
        </w:numPr>
        <w:spacing w:before="120"/>
        <w:jc w:val="both"/>
        <w:rPr>
          <w:rFonts w:asciiTheme="minorHAnsi" w:hAnsiTheme="minorHAnsi"/>
        </w:rPr>
      </w:pPr>
      <w:r w:rsidRPr="00427506">
        <w:rPr>
          <w:rFonts w:asciiTheme="minorHAnsi" w:hAnsiTheme="minorHAnsi"/>
        </w:rPr>
        <w:t>44 pārbaudes dezinfekcijas pasākumu izpildei;</w:t>
      </w:r>
    </w:p>
    <w:p w:rsidR="00427506" w:rsidRPr="00427506" w:rsidRDefault="00427506" w:rsidP="001234C1">
      <w:pPr>
        <w:pStyle w:val="ListParagraph"/>
        <w:widowControl w:val="0"/>
        <w:numPr>
          <w:ilvl w:val="0"/>
          <w:numId w:val="13"/>
        </w:numPr>
        <w:spacing w:before="120"/>
        <w:jc w:val="both"/>
        <w:rPr>
          <w:rFonts w:asciiTheme="minorHAnsi" w:hAnsiTheme="minorHAnsi"/>
        </w:rPr>
      </w:pPr>
      <w:r w:rsidRPr="00427506">
        <w:rPr>
          <w:rFonts w:asciiTheme="minorHAnsi" w:hAnsiTheme="minorHAnsi"/>
        </w:rPr>
        <w:t>260 pārbaudes veģetācijas periodā, lai pārbaudītu, vai stādīšanai ir izmantots sertificēts sēklas materiāls un vai inficētajos laukos iznīcināti pārziemojušie kartupeļi (814,95 ha);</w:t>
      </w:r>
    </w:p>
    <w:p w:rsidR="00427506" w:rsidRPr="00427506" w:rsidRDefault="00427506" w:rsidP="001234C1">
      <w:pPr>
        <w:pStyle w:val="ListParagraph"/>
        <w:widowControl w:val="0"/>
        <w:numPr>
          <w:ilvl w:val="0"/>
          <w:numId w:val="13"/>
        </w:numPr>
        <w:spacing w:before="120"/>
        <w:jc w:val="both"/>
        <w:rPr>
          <w:rFonts w:asciiTheme="minorHAnsi" w:hAnsiTheme="minorHAnsi"/>
        </w:rPr>
      </w:pPr>
      <w:r w:rsidRPr="00427506">
        <w:rPr>
          <w:rFonts w:asciiTheme="minorHAnsi" w:hAnsiTheme="minorHAnsi"/>
        </w:rPr>
        <w:t>50 pārbaudes pēc ražas novākšanas, kurās noņēma 80kartupeļu bumbuļu paraugus laboratoriskai testēšanai.</w:t>
      </w:r>
    </w:p>
    <w:p w:rsidR="00427506" w:rsidRPr="00427506" w:rsidRDefault="00427506" w:rsidP="00427506">
      <w:pPr>
        <w:shd w:val="clear" w:color="auto" w:fill="DAEEF3" w:themeFill="accent5" w:themeFillTint="33"/>
        <w:jc w:val="both"/>
        <w:rPr>
          <w:rFonts w:asciiTheme="minorHAnsi" w:hAnsiTheme="minorHAnsi"/>
        </w:rPr>
      </w:pPr>
      <w:r w:rsidRPr="00427506">
        <w:rPr>
          <w:rFonts w:asciiTheme="minorHAnsi" w:hAnsiTheme="minorHAnsi"/>
        </w:rPr>
        <w:t xml:space="preserve">Pārbaudes kartupeļu gaišās gredzenpuves </w:t>
      </w:r>
      <w:proofErr w:type="spellStart"/>
      <w:r w:rsidRPr="00E124B1">
        <w:rPr>
          <w:rFonts w:asciiTheme="minorHAnsi" w:hAnsiTheme="minorHAnsi"/>
          <w:i/>
        </w:rPr>
        <w:t>Clavibacter</w:t>
      </w:r>
      <w:proofErr w:type="spellEnd"/>
      <w:r w:rsidRPr="00E124B1">
        <w:rPr>
          <w:rFonts w:asciiTheme="minorHAnsi" w:hAnsiTheme="minorHAnsi"/>
          <w:i/>
        </w:rPr>
        <w:t xml:space="preserve">  </w:t>
      </w:r>
      <w:proofErr w:type="spellStart"/>
      <w:r w:rsidRPr="00E124B1">
        <w:rPr>
          <w:rFonts w:asciiTheme="minorHAnsi" w:hAnsiTheme="minorHAnsi"/>
          <w:i/>
        </w:rPr>
        <w:t>michiganensis</w:t>
      </w:r>
      <w:proofErr w:type="spellEnd"/>
      <w:r w:rsidRPr="00E124B1">
        <w:rPr>
          <w:rFonts w:asciiTheme="minorHAnsi" w:hAnsiTheme="minorHAnsi"/>
          <w:i/>
        </w:rPr>
        <w:t xml:space="preserve"> </w:t>
      </w:r>
      <w:proofErr w:type="spellStart"/>
      <w:r w:rsidRPr="00E124B1">
        <w:rPr>
          <w:rFonts w:asciiTheme="minorHAnsi" w:hAnsiTheme="minorHAnsi"/>
          <w:i/>
        </w:rPr>
        <w:t>subsp</w:t>
      </w:r>
      <w:proofErr w:type="spellEnd"/>
      <w:r w:rsidRPr="00E124B1">
        <w:rPr>
          <w:rFonts w:asciiTheme="minorHAnsi" w:hAnsiTheme="minorHAnsi"/>
          <w:i/>
        </w:rPr>
        <w:t xml:space="preserve">. </w:t>
      </w:r>
      <w:proofErr w:type="spellStart"/>
      <w:r w:rsidRPr="00E124B1">
        <w:rPr>
          <w:rFonts w:asciiTheme="minorHAnsi" w:hAnsiTheme="minorHAnsi"/>
          <w:i/>
        </w:rPr>
        <w:t>Sepedonicus</w:t>
      </w:r>
      <w:proofErr w:type="spellEnd"/>
      <w:r w:rsidRPr="00427506">
        <w:rPr>
          <w:rFonts w:asciiTheme="minorHAnsi" w:hAnsiTheme="minorHAnsi"/>
        </w:rPr>
        <w:t xml:space="preserve"> izplatības noteikšanai</w:t>
      </w:r>
    </w:p>
    <w:tbl>
      <w:tblPr>
        <w:tblW w:w="9640" w:type="dxa"/>
        <w:tblInd w:w="108"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2694"/>
        <w:gridCol w:w="1276"/>
        <w:gridCol w:w="1134"/>
        <w:gridCol w:w="1134"/>
        <w:gridCol w:w="1134"/>
        <w:gridCol w:w="1134"/>
        <w:gridCol w:w="1134"/>
      </w:tblGrid>
      <w:tr w:rsidR="00427506" w:rsidRPr="00376E4F" w:rsidTr="00CF1418">
        <w:tc>
          <w:tcPr>
            <w:tcW w:w="2694" w:type="dxa"/>
            <w:shd w:val="clear" w:color="auto" w:fill="auto"/>
          </w:tcPr>
          <w:p w:rsidR="00427506" w:rsidRPr="00376E4F" w:rsidRDefault="00427506" w:rsidP="00427506">
            <w:pPr>
              <w:widowControl w:val="0"/>
              <w:spacing w:line="285" w:lineRule="auto"/>
              <w:rPr>
                <w:rFonts w:asciiTheme="minorHAnsi" w:hAnsiTheme="minorHAnsi"/>
                <w:b/>
                <w:sz w:val="20"/>
                <w:szCs w:val="20"/>
              </w:rPr>
            </w:pPr>
          </w:p>
        </w:tc>
        <w:tc>
          <w:tcPr>
            <w:tcW w:w="1276" w:type="dxa"/>
          </w:tcPr>
          <w:p w:rsidR="00427506" w:rsidRPr="00376E4F" w:rsidRDefault="00427506" w:rsidP="00427506">
            <w:pPr>
              <w:widowControl w:val="0"/>
              <w:spacing w:line="285" w:lineRule="auto"/>
              <w:jc w:val="center"/>
              <w:rPr>
                <w:rFonts w:asciiTheme="minorHAnsi" w:hAnsiTheme="minorHAnsi"/>
                <w:b/>
                <w:sz w:val="20"/>
                <w:szCs w:val="20"/>
              </w:rPr>
            </w:pPr>
            <w:r w:rsidRPr="00376E4F">
              <w:rPr>
                <w:rFonts w:asciiTheme="minorHAnsi" w:hAnsiTheme="minorHAnsi"/>
                <w:b/>
                <w:sz w:val="20"/>
                <w:szCs w:val="20"/>
              </w:rPr>
              <w:t xml:space="preserve">2007.gada kartupeļu raža </w:t>
            </w:r>
          </w:p>
        </w:tc>
        <w:tc>
          <w:tcPr>
            <w:tcW w:w="1134" w:type="dxa"/>
          </w:tcPr>
          <w:p w:rsidR="00427506" w:rsidRPr="00376E4F" w:rsidRDefault="00427506" w:rsidP="00427506">
            <w:pPr>
              <w:widowControl w:val="0"/>
              <w:spacing w:line="285" w:lineRule="auto"/>
              <w:ind w:firstLine="2"/>
              <w:jc w:val="center"/>
              <w:rPr>
                <w:rFonts w:asciiTheme="minorHAnsi" w:hAnsiTheme="minorHAnsi"/>
                <w:b/>
                <w:sz w:val="20"/>
                <w:szCs w:val="20"/>
              </w:rPr>
            </w:pPr>
            <w:r w:rsidRPr="00376E4F">
              <w:rPr>
                <w:rFonts w:asciiTheme="minorHAnsi" w:hAnsiTheme="minorHAnsi"/>
                <w:b/>
                <w:sz w:val="20"/>
                <w:szCs w:val="20"/>
              </w:rPr>
              <w:t>2008.gada kartupeļu raža</w:t>
            </w:r>
          </w:p>
        </w:tc>
        <w:tc>
          <w:tcPr>
            <w:tcW w:w="1134" w:type="dxa"/>
          </w:tcPr>
          <w:p w:rsidR="00427506" w:rsidRPr="00376E4F" w:rsidRDefault="00427506" w:rsidP="00427506">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2009.gada kartupeļu raža</w:t>
            </w:r>
          </w:p>
        </w:tc>
        <w:tc>
          <w:tcPr>
            <w:tcW w:w="1134" w:type="dxa"/>
          </w:tcPr>
          <w:p w:rsidR="00427506" w:rsidRPr="00376E4F" w:rsidRDefault="00427506" w:rsidP="00427506">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2010.gada kartupeļu raža</w:t>
            </w:r>
          </w:p>
        </w:tc>
        <w:tc>
          <w:tcPr>
            <w:tcW w:w="1134" w:type="dxa"/>
            <w:shd w:val="clear" w:color="auto" w:fill="auto"/>
          </w:tcPr>
          <w:p w:rsidR="00427506" w:rsidRPr="00376E4F" w:rsidRDefault="00427506" w:rsidP="00427506">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2011.gada kartupeļu raža</w:t>
            </w:r>
          </w:p>
        </w:tc>
        <w:tc>
          <w:tcPr>
            <w:tcW w:w="1134" w:type="dxa"/>
          </w:tcPr>
          <w:p w:rsidR="00427506" w:rsidRPr="00376E4F" w:rsidRDefault="00427506" w:rsidP="00427506">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2012.gada kartupeļu raža</w:t>
            </w:r>
          </w:p>
        </w:tc>
      </w:tr>
      <w:tr w:rsidR="00427506" w:rsidRPr="00376E4F" w:rsidTr="00CF1418">
        <w:trPr>
          <w:trHeight w:val="213"/>
        </w:trPr>
        <w:tc>
          <w:tcPr>
            <w:tcW w:w="2694" w:type="dxa"/>
            <w:shd w:val="clear" w:color="auto" w:fill="auto"/>
          </w:tcPr>
          <w:p w:rsidR="00427506" w:rsidRPr="00376E4F" w:rsidRDefault="00427506" w:rsidP="00427506">
            <w:pPr>
              <w:widowControl w:val="0"/>
              <w:spacing w:line="285" w:lineRule="auto"/>
              <w:rPr>
                <w:rFonts w:asciiTheme="minorHAnsi" w:hAnsiTheme="minorHAnsi"/>
                <w:sz w:val="20"/>
                <w:szCs w:val="20"/>
              </w:rPr>
            </w:pPr>
            <w:r w:rsidRPr="00376E4F">
              <w:rPr>
                <w:rFonts w:asciiTheme="minorHAnsi" w:hAnsiTheme="minorHAnsi"/>
                <w:sz w:val="20"/>
                <w:szCs w:val="20"/>
              </w:rPr>
              <w:t>Pārbaudīto saimniecību skaits</w:t>
            </w:r>
          </w:p>
        </w:tc>
        <w:tc>
          <w:tcPr>
            <w:tcW w:w="1276"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561</w:t>
            </w:r>
          </w:p>
        </w:tc>
        <w:tc>
          <w:tcPr>
            <w:tcW w:w="1134" w:type="dxa"/>
          </w:tcPr>
          <w:p w:rsidR="00427506" w:rsidRPr="00376E4F" w:rsidRDefault="00427506" w:rsidP="00427506">
            <w:pPr>
              <w:widowControl w:val="0"/>
              <w:spacing w:line="285" w:lineRule="auto"/>
              <w:ind w:firstLine="2"/>
              <w:jc w:val="center"/>
              <w:rPr>
                <w:rFonts w:asciiTheme="minorHAnsi" w:hAnsiTheme="minorHAnsi"/>
                <w:sz w:val="20"/>
                <w:szCs w:val="20"/>
              </w:rPr>
            </w:pPr>
            <w:r w:rsidRPr="00376E4F">
              <w:rPr>
                <w:rFonts w:asciiTheme="minorHAnsi" w:hAnsiTheme="minorHAnsi"/>
                <w:sz w:val="20"/>
                <w:szCs w:val="20"/>
              </w:rPr>
              <w:t>411</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373</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306</w:t>
            </w:r>
          </w:p>
        </w:tc>
        <w:tc>
          <w:tcPr>
            <w:tcW w:w="1134" w:type="dxa"/>
            <w:shd w:val="clear" w:color="auto" w:fill="auto"/>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320</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p>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320</w:t>
            </w:r>
          </w:p>
        </w:tc>
      </w:tr>
      <w:tr w:rsidR="00427506" w:rsidRPr="00376E4F" w:rsidTr="00CF1418">
        <w:tc>
          <w:tcPr>
            <w:tcW w:w="2694" w:type="dxa"/>
            <w:shd w:val="clear" w:color="auto" w:fill="auto"/>
          </w:tcPr>
          <w:p w:rsidR="00427506" w:rsidRPr="00376E4F" w:rsidRDefault="00427506" w:rsidP="00427506">
            <w:pPr>
              <w:widowControl w:val="0"/>
              <w:spacing w:line="285" w:lineRule="auto"/>
              <w:rPr>
                <w:rFonts w:asciiTheme="minorHAnsi" w:hAnsiTheme="minorHAnsi"/>
                <w:sz w:val="20"/>
                <w:szCs w:val="20"/>
              </w:rPr>
            </w:pPr>
            <w:r w:rsidRPr="00376E4F">
              <w:rPr>
                <w:rFonts w:asciiTheme="minorHAnsi" w:hAnsiTheme="minorHAnsi"/>
                <w:sz w:val="20"/>
                <w:szCs w:val="20"/>
              </w:rPr>
              <w:t>Noņemto paraugu skaits, gab.</w:t>
            </w:r>
          </w:p>
        </w:tc>
        <w:tc>
          <w:tcPr>
            <w:tcW w:w="1276"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1584</w:t>
            </w:r>
          </w:p>
        </w:tc>
        <w:tc>
          <w:tcPr>
            <w:tcW w:w="1134" w:type="dxa"/>
          </w:tcPr>
          <w:p w:rsidR="00427506" w:rsidRPr="00376E4F" w:rsidRDefault="00427506" w:rsidP="00427506">
            <w:pPr>
              <w:widowControl w:val="0"/>
              <w:spacing w:line="285" w:lineRule="auto"/>
              <w:ind w:firstLine="2"/>
              <w:jc w:val="center"/>
              <w:rPr>
                <w:rFonts w:asciiTheme="minorHAnsi" w:hAnsiTheme="minorHAnsi"/>
                <w:sz w:val="20"/>
                <w:szCs w:val="20"/>
              </w:rPr>
            </w:pPr>
            <w:r w:rsidRPr="00376E4F">
              <w:rPr>
                <w:rFonts w:asciiTheme="minorHAnsi" w:hAnsiTheme="minorHAnsi"/>
                <w:sz w:val="20"/>
                <w:szCs w:val="20"/>
              </w:rPr>
              <w:t>1157</w:t>
            </w:r>
          </w:p>
        </w:tc>
        <w:tc>
          <w:tcPr>
            <w:tcW w:w="1134" w:type="dxa"/>
          </w:tcPr>
          <w:p w:rsidR="00427506" w:rsidRPr="00376E4F" w:rsidRDefault="00427506" w:rsidP="00427506">
            <w:pPr>
              <w:widowControl w:val="0"/>
              <w:spacing w:line="285" w:lineRule="auto"/>
              <w:ind w:firstLine="72"/>
              <w:jc w:val="center"/>
              <w:rPr>
                <w:rFonts w:asciiTheme="minorHAnsi" w:hAnsiTheme="minorHAnsi"/>
                <w:sz w:val="20"/>
                <w:szCs w:val="20"/>
              </w:rPr>
            </w:pPr>
            <w:r w:rsidRPr="00376E4F">
              <w:rPr>
                <w:rFonts w:asciiTheme="minorHAnsi" w:hAnsiTheme="minorHAnsi"/>
                <w:sz w:val="20"/>
                <w:szCs w:val="20"/>
              </w:rPr>
              <w:t>908</w:t>
            </w:r>
          </w:p>
        </w:tc>
        <w:tc>
          <w:tcPr>
            <w:tcW w:w="1134" w:type="dxa"/>
          </w:tcPr>
          <w:p w:rsidR="00427506" w:rsidRPr="00376E4F" w:rsidRDefault="00427506" w:rsidP="00427506">
            <w:pPr>
              <w:widowControl w:val="0"/>
              <w:spacing w:line="285" w:lineRule="auto"/>
              <w:ind w:firstLine="72"/>
              <w:jc w:val="center"/>
              <w:rPr>
                <w:rFonts w:asciiTheme="minorHAnsi" w:hAnsiTheme="minorHAnsi"/>
                <w:sz w:val="20"/>
                <w:szCs w:val="20"/>
              </w:rPr>
            </w:pPr>
            <w:r w:rsidRPr="00376E4F">
              <w:rPr>
                <w:rFonts w:asciiTheme="minorHAnsi" w:hAnsiTheme="minorHAnsi"/>
                <w:sz w:val="20"/>
                <w:szCs w:val="20"/>
              </w:rPr>
              <w:t>1129</w:t>
            </w:r>
          </w:p>
        </w:tc>
        <w:tc>
          <w:tcPr>
            <w:tcW w:w="1134" w:type="dxa"/>
            <w:shd w:val="clear" w:color="auto" w:fill="auto"/>
          </w:tcPr>
          <w:p w:rsidR="00427506" w:rsidRPr="00376E4F" w:rsidRDefault="00427506" w:rsidP="00427506">
            <w:pPr>
              <w:widowControl w:val="0"/>
              <w:spacing w:line="285" w:lineRule="auto"/>
              <w:ind w:firstLine="72"/>
              <w:jc w:val="center"/>
              <w:rPr>
                <w:rFonts w:asciiTheme="minorHAnsi" w:hAnsiTheme="minorHAnsi"/>
                <w:sz w:val="20"/>
                <w:szCs w:val="20"/>
              </w:rPr>
            </w:pPr>
            <w:r w:rsidRPr="00376E4F">
              <w:rPr>
                <w:rFonts w:asciiTheme="minorHAnsi" w:hAnsiTheme="minorHAnsi"/>
                <w:sz w:val="20"/>
                <w:szCs w:val="20"/>
              </w:rPr>
              <w:t>811</w:t>
            </w:r>
          </w:p>
        </w:tc>
        <w:tc>
          <w:tcPr>
            <w:tcW w:w="1134" w:type="dxa"/>
          </w:tcPr>
          <w:p w:rsidR="00427506" w:rsidRPr="00376E4F" w:rsidRDefault="00427506" w:rsidP="00427506">
            <w:pPr>
              <w:widowControl w:val="0"/>
              <w:spacing w:line="285" w:lineRule="auto"/>
              <w:ind w:firstLine="72"/>
              <w:jc w:val="center"/>
              <w:rPr>
                <w:rFonts w:asciiTheme="minorHAnsi" w:hAnsiTheme="minorHAnsi"/>
                <w:sz w:val="20"/>
                <w:szCs w:val="20"/>
              </w:rPr>
            </w:pPr>
          </w:p>
          <w:p w:rsidR="00427506" w:rsidRPr="00376E4F" w:rsidRDefault="00427506" w:rsidP="00427506">
            <w:pPr>
              <w:widowControl w:val="0"/>
              <w:spacing w:line="285" w:lineRule="auto"/>
              <w:ind w:firstLine="72"/>
              <w:jc w:val="center"/>
              <w:rPr>
                <w:rFonts w:asciiTheme="minorHAnsi" w:hAnsiTheme="minorHAnsi"/>
                <w:sz w:val="20"/>
                <w:szCs w:val="20"/>
              </w:rPr>
            </w:pPr>
            <w:r w:rsidRPr="00376E4F">
              <w:rPr>
                <w:rFonts w:asciiTheme="minorHAnsi" w:hAnsiTheme="minorHAnsi"/>
                <w:sz w:val="20"/>
                <w:szCs w:val="20"/>
              </w:rPr>
              <w:t>821</w:t>
            </w:r>
          </w:p>
        </w:tc>
      </w:tr>
      <w:tr w:rsidR="00427506" w:rsidRPr="00376E4F" w:rsidTr="00CF1418">
        <w:trPr>
          <w:trHeight w:val="429"/>
        </w:trPr>
        <w:tc>
          <w:tcPr>
            <w:tcW w:w="2694" w:type="dxa"/>
            <w:shd w:val="clear" w:color="auto" w:fill="auto"/>
          </w:tcPr>
          <w:p w:rsidR="00427506" w:rsidRPr="00376E4F" w:rsidRDefault="00427506" w:rsidP="00427506">
            <w:pPr>
              <w:widowControl w:val="0"/>
              <w:spacing w:line="285" w:lineRule="auto"/>
              <w:rPr>
                <w:rFonts w:asciiTheme="minorHAnsi" w:hAnsiTheme="minorHAnsi"/>
                <w:sz w:val="20"/>
                <w:szCs w:val="20"/>
              </w:rPr>
            </w:pPr>
            <w:r w:rsidRPr="00376E4F">
              <w:rPr>
                <w:rFonts w:asciiTheme="minorHAnsi" w:hAnsiTheme="minorHAnsi"/>
                <w:sz w:val="20"/>
                <w:szCs w:val="20"/>
              </w:rPr>
              <w:t>Inficēto saimniecību skaits (konstatēts pirmo reizi)</w:t>
            </w:r>
          </w:p>
        </w:tc>
        <w:tc>
          <w:tcPr>
            <w:tcW w:w="1276"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86</w:t>
            </w:r>
          </w:p>
        </w:tc>
        <w:tc>
          <w:tcPr>
            <w:tcW w:w="1134" w:type="dxa"/>
          </w:tcPr>
          <w:p w:rsidR="00427506" w:rsidRPr="00376E4F" w:rsidRDefault="00427506" w:rsidP="00427506">
            <w:pPr>
              <w:widowControl w:val="0"/>
              <w:spacing w:line="285" w:lineRule="auto"/>
              <w:ind w:firstLine="2"/>
              <w:jc w:val="center"/>
              <w:rPr>
                <w:rFonts w:asciiTheme="minorHAnsi" w:hAnsiTheme="minorHAnsi"/>
                <w:sz w:val="20"/>
                <w:szCs w:val="20"/>
              </w:rPr>
            </w:pPr>
            <w:r w:rsidRPr="00376E4F">
              <w:rPr>
                <w:rFonts w:asciiTheme="minorHAnsi" w:hAnsiTheme="minorHAnsi"/>
                <w:sz w:val="20"/>
                <w:szCs w:val="20"/>
              </w:rPr>
              <w:t>57</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25</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24</w:t>
            </w:r>
          </w:p>
        </w:tc>
        <w:tc>
          <w:tcPr>
            <w:tcW w:w="1134" w:type="dxa"/>
            <w:shd w:val="clear" w:color="auto" w:fill="auto"/>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18</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17</w:t>
            </w:r>
          </w:p>
        </w:tc>
      </w:tr>
      <w:tr w:rsidR="00427506" w:rsidRPr="00376E4F" w:rsidTr="00CF1418">
        <w:tc>
          <w:tcPr>
            <w:tcW w:w="2694" w:type="dxa"/>
            <w:shd w:val="clear" w:color="auto" w:fill="auto"/>
            <w:vAlign w:val="center"/>
          </w:tcPr>
          <w:p w:rsidR="00427506" w:rsidRPr="00376E4F" w:rsidRDefault="00427506" w:rsidP="00427506">
            <w:pPr>
              <w:widowControl w:val="0"/>
              <w:spacing w:line="285" w:lineRule="auto"/>
              <w:rPr>
                <w:rFonts w:asciiTheme="minorHAnsi" w:hAnsiTheme="minorHAnsi"/>
                <w:sz w:val="20"/>
                <w:szCs w:val="20"/>
              </w:rPr>
            </w:pPr>
            <w:r w:rsidRPr="00376E4F">
              <w:rPr>
                <w:rFonts w:asciiTheme="minorHAnsi" w:hAnsiTheme="minorHAnsi"/>
                <w:sz w:val="20"/>
                <w:szCs w:val="20"/>
              </w:rPr>
              <w:t>Inficētās platības, ha</w:t>
            </w:r>
          </w:p>
        </w:tc>
        <w:tc>
          <w:tcPr>
            <w:tcW w:w="1276" w:type="dxa"/>
            <w:vAlign w:val="center"/>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285,9</w:t>
            </w:r>
          </w:p>
        </w:tc>
        <w:tc>
          <w:tcPr>
            <w:tcW w:w="1134" w:type="dxa"/>
            <w:vAlign w:val="center"/>
          </w:tcPr>
          <w:p w:rsidR="00427506" w:rsidRPr="00376E4F" w:rsidRDefault="00427506" w:rsidP="00427506">
            <w:pPr>
              <w:widowControl w:val="0"/>
              <w:spacing w:line="285" w:lineRule="auto"/>
              <w:ind w:firstLine="2"/>
              <w:jc w:val="center"/>
              <w:rPr>
                <w:rFonts w:asciiTheme="minorHAnsi" w:hAnsiTheme="minorHAnsi"/>
                <w:sz w:val="20"/>
                <w:szCs w:val="20"/>
              </w:rPr>
            </w:pPr>
            <w:r w:rsidRPr="00376E4F">
              <w:rPr>
                <w:rFonts w:asciiTheme="minorHAnsi" w:hAnsiTheme="minorHAnsi"/>
                <w:sz w:val="20"/>
                <w:szCs w:val="20"/>
              </w:rPr>
              <w:t>106,7</w:t>
            </w:r>
          </w:p>
        </w:tc>
        <w:tc>
          <w:tcPr>
            <w:tcW w:w="1134" w:type="dxa"/>
            <w:vAlign w:val="center"/>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55,5</w:t>
            </w:r>
          </w:p>
        </w:tc>
        <w:tc>
          <w:tcPr>
            <w:tcW w:w="1134" w:type="dxa"/>
            <w:vAlign w:val="center"/>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99,6</w:t>
            </w:r>
          </w:p>
        </w:tc>
        <w:tc>
          <w:tcPr>
            <w:tcW w:w="1134" w:type="dxa"/>
            <w:shd w:val="clear" w:color="auto" w:fill="auto"/>
            <w:vAlign w:val="center"/>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35,15</w:t>
            </w:r>
          </w:p>
        </w:tc>
        <w:tc>
          <w:tcPr>
            <w:tcW w:w="1134" w:type="dxa"/>
          </w:tcPr>
          <w:p w:rsidR="00427506" w:rsidRPr="00376E4F" w:rsidRDefault="00427506" w:rsidP="00427506">
            <w:pPr>
              <w:widowControl w:val="0"/>
              <w:spacing w:line="285" w:lineRule="auto"/>
              <w:jc w:val="center"/>
              <w:rPr>
                <w:rFonts w:asciiTheme="minorHAnsi" w:hAnsiTheme="minorHAnsi"/>
                <w:sz w:val="20"/>
                <w:szCs w:val="20"/>
              </w:rPr>
            </w:pPr>
            <w:r w:rsidRPr="00376E4F">
              <w:rPr>
                <w:rFonts w:asciiTheme="minorHAnsi" w:hAnsiTheme="minorHAnsi"/>
                <w:sz w:val="20"/>
                <w:szCs w:val="20"/>
              </w:rPr>
              <w:t>6,64</w:t>
            </w:r>
          </w:p>
        </w:tc>
      </w:tr>
    </w:tbl>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3 saimniecībās kartupeļu gaišā gredzenpuve atklāta atkārtoti, kas liecina par to, ka netiek izpildīti </w:t>
      </w:r>
      <w:r w:rsidR="004B6E67">
        <w:rPr>
          <w:rFonts w:asciiTheme="minorHAnsi" w:hAnsiTheme="minorHAnsi"/>
        </w:rPr>
        <w:t>VAAD</w:t>
      </w:r>
      <w:r w:rsidR="004B6E67" w:rsidRPr="00E35A8A">
        <w:rPr>
          <w:rFonts w:asciiTheme="minorHAnsi" w:hAnsiTheme="minorHAnsi"/>
        </w:rPr>
        <w:t xml:space="preserve"> </w:t>
      </w:r>
      <w:r w:rsidRPr="00E35A8A">
        <w:rPr>
          <w:rFonts w:asciiTheme="minorHAnsi" w:hAnsiTheme="minorHAnsi"/>
        </w:rPr>
        <w:t xml:space="preserve">noteiktie fitosanitārie pasākumi. </w:t>
      </w:r>
      <w:r w:rsidR="00DB586F">
        <w:rPr>
          <w:rFonts w:asciiTheme="minorHAnsi" w:hAnsiTheme="minorHAnsi"/>
        </w:rPr>
        <w:t>VAAD</w:t>
      </w:r>
      <w:r w:rsidRPr="00E35A8A">
        <w:rPr>
          <w:rFonts w:asciiTheme="minorHAnsi" w:hAnsiTheme="minorHAnsi"/>
        </w:rPr>
        <w:t xml:space="preserve">, pārbaudot fitosanitāro pasākumu izpildi saimniecībās, kurās iepriekšējos gados konstatēta kartupeļu gaišā gredzenpuve, konstatēja, ka 7 saimniecības nav izpildījušas tām uzliktos fitosanitāros pasākumus - 4 saimniecības stādīšanai izmantojušas nesertificētu kartupeļu sēklas materiālu, bet trīs </w:t>
      </w:r>
      <w:r w:rsidRPr="00E35A8A">
        <w:rPr>
          <w:rFonts w:asciiTheme="minorHAnsi" w:hAnsiTheme="minorHAnsi"/>
        </w:rPr>
        <w:lastRenderedPageBreak/>
        <w:t>saimniecības nav veikušas lauksaimniecības tehnikas dezinfekciju. Par šiem pārkāpumiem piecos gadījumos ierosinātas Administratīvo pārkāpumu lietas un piemērots naudas sods par kopējo summu 150 Ls, divos gadījumos izteikts mutvārdu aizrādījums.</w:t>
      </w:r>
      <w:r w:rsidR="00DB586F">
        <w:rPr>
          <w:rFonts w:asciiTheme="minorHAnsi" w:hAnsiTheme="minorHAnsi"/>
        </w:rPr>
        <w:t xml:space="preserve"> VAAD</w:t>
      </w:r>
      <w:r w:rsidRPr="00E35A8A">
        <w:rPr>
          <w:rFonts w:asciiTheme="minorHAnsi" w:hAnsiTheme="minorHAnsi"/>
        </w:rPr>
        <w:t xml:space="preserve"> veica 23 pārbaudes pārtikas kartupeļu tirdzniecības vietās, kurās noņēma 1 paraugu no tirdzniecībā esošajiem Latvijas kartupeļiem un 11 paraugus no citu Eiropas Savienības dalībvalstu (Dānijas, Polijas, Lietuvas un Itālijas) izaudzētajiem kartupeļiem, kā arī 5 paraugus no trešajām valstīm (Marokas un Ēģiptes ievestajiem kartupeļiem. Kartupeļu gaišā gredzenpuve un kartupeļu tumšā gredzenpuve šajos paraugos netika konstatēta. </w:t>
      </w:r>
    </w:p>
    <w:p w:rsidR="00E35A8A" w:rsidRPr="00E35A8A" w:rsidRDefault="00DB586F" w:rsidP="00E35A8A">
      <w:pPr>
        <w:widowControl w:val="0"/>
        <w:spacing w:before="120"/>
        <w:jc w:val="both"/>
        <w:rPr>
          <w:rFonts w:asciiTheme="minorHAnsi" w:hAnsiTheme="minorHAnsi"/>
        </w:rPr>
      </w:pPr>
      <w:r>
        <w:rPr>
          <w:rFonts w:asciiTheme="minorHAnsi" w:hAnsiTheme="minorHAnsi"/>
        </w:rPr>
        <w:t>VAAD</w:t>
      </w:r>
      <w:r w:rsidR="00E35A8A" w:rsidRPr="00E35A8A">
        <w:rPr>
          <w:rFonts w:asciiTheme="minorHAnsi" w:hAnsiTheme="minorHAnsi"/>
        </w:rPr>
        <w:t xml:space="preserve"> turpināja no Eiropas Savienības valstīm ievestā kartupeļu sēklas materiāla pārbaudes. Noņemti un laboratoriski testēts 51 paraugs - 22 Vācijas, 20 Nīderlandes un 9 Dānijas izcelsmes sēklas kartupeļu paraugi. Ne kartupeļu gaišā gredzenpuve, ne kartupeļu tumšā gredzenpuve šajos paraugos netika konstatēta.</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Neveicot kartupeļu gaišās gredzenpuves izplatības uzraudzību, šī augu karantīnas organisma izplatība būs nekontrolēta un ilgtermiņā cietīs kartupeļu ražošanas nozare. Tādēļ svarīgi arī turpmāk, atkarībā no pieejamā valsts budžeta, atbalstīt kartupeļu gaišās gredzenpuves ierobežošanas pasākumu veikšanu inficētajās saimniecībās un atbalstīt kartupeļu sēklaudzētājus, lai nodrošinātu kvalitatīva sertificēta sēklas materiāla pieejamību Latvijas tirgū, kā arī veicināt saimniecības ievērot prasību atjaunot kartupeļu audzēšanas saimniecībās sēklas materiālu ar sertificētu sēklu 10% apjomā no ik gadus apstādāmās platības.</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Kartupeļu tumšā gredzenpuve </w:t>
      </w:r>
      <w:proofErr w:type="spellStart"/>
      <w:r w:rsidRPr="00E35A8A">
        <w:rPr>
          <w:rFonts w:asciiTheme="minorHAnsi" w:hAnsiTheme="minorHAnsi"/>
          <w:b/>
          <w:i/>
        </w:rPr>
        <w:t>Ralstonia</w:t>
      </w:r>
      <w:proofErr w:type="spellEnd"/>
      <w:r w:rsidRPr="00E35A8A">
        <w:rPr>
          <w:rFonts w:asciiTheme="minorHAnsi" w:hAnsiTheme="minorHAnsi"/>
          <w:b/>
          <w:i/>
        </w:rPr>
        <w:t xml:space="preserve"> </w:t>
      </w:r>
      <w:proofErr w:type="spellStart"/>
      <w:r w:rsidRPr="00E35A8A">
        <w:rPr>
          <w:rFonts w:asciiTheme="minorHAnsi" w:hAnsiTheme="minorHAnsi"/>
          <w:b/>
          <w:i/>
        </w:rPr>
        <w:t>solanacearum</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Kartupeļu tumšā gredzenpuve, ko ierosina baktērija </w:t>
      </w:r>
      <w:proofErr w:type="spellStart"/>
      <w:r w:rsidRPr="00E35A8A">
        <w:rPr>
          <w:rFonts w:asciiTheme="minorHAnsi" w:hAnsiTheme="minorHAnsi"/>
        </w:rPr>
        <w:t>Ralstonia</w:t>
      </w:r>
      <w:proofErr w:type="spellEnd"/>
      <w:r w:rsidRPr="00E35A8A">
        <w:rPr>
          <w:rFonts w:asciiTheme="minorHAnsi" w:hAnsiTheme="minorHAnsi"/>
        </w:rPr>
        <w:t xml:space="preserve"> </w:t>
      </w:r>
      <w:proofErr w:type="spellStart"/>
      <w:r w:rsidRPr="00E35A8A">
        <w:rPr>
          <w:rFonts w:asciiTheme="minorHAnsi" w:hAnsiTheme="minorHAnsi"/>
        </w:rPr>
        <w:t>solanacearum</w:t>
      </w:r>
      <w:proofErr w:type="spellEnd"/>
      <w:r w:rsidRPr="00E35A8A">
        <w:rPr>
          <w:rFonts w:asciiTheme="minorHAnsi" w:hAnsiTheme="minorHAnsi"/>
        </w:rPr>
        <w:t>, līdz šim Latvijā nav konstatēta. Tās atklāšanai tiek analizēti visi kartupeļu bumbuļu paraugi, kas noņemti kartupeļu audzēšanas saimniecībās un kartupeļu tirdzniecības vietās kartupeļu gaišās gredzenpuves atklāšanai. Šajos paraugos kartupeļu tumšā gredzenpuve netika konstatēta.</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Pēdējos divos gados vairākas ES dalībvalstis (Polija, Čehija, Spānija) ir konstatējušas kartupeļu tumšās gredzenpuves ierosinātāju ņemtajos ūdens paraugos. Ja šādu ūdeni izmanto kartupeļu laistīšanai, tad tie inficējas ar šo slimību. Tādēļ </w:t>
      </w:r>
      <w:r w:rsidR="004B6E67">
        <w:rPr>
          <w:rFonts w:asciiTheme="minorHAnsi" w:hAnsiTheme="minorHAnsi"/>
        </w:rPr>
        <w:t>VAAD</w:t>
      </w:r>
      <w:r w:rsidR="004B6E67" w:rsidRPr="00E35A8A">
        <w:rPr>
          <w:rFonts w:asciiTheme="minorHAnsi" w:hAnsiTheme="minorHAnsi"/>
        </w:rPr>
        <w:t xml:space="preserve"> </w:t>
      </w:r>
      <w:r w:rsidRPr="00E35A8A">
        <w:rPr>
          <w:rFonts w:asciiTheme="minorHAnsi" w:hAnsiTheme="minorHAnsi"/>
        </w:rPr>
        <w:t xml:space="preserve">inspektori kartupeļu tumšās gredzenpuves atklāšanai pārbauda ne tikai kartupeļu bumbuļu paraugus, bet papildus ņem arī ūdens un kartupeļu tumšās gredzenpuves savvaļas saimniekaugu - melnās naktenes </w:t>
      </w:r>
      <w:proofErr w:type="spellStart"/>
      <w:r w:rsidRPr="00E35A8A">
        <w:rPr>
          <w:rFonts w:asciiTheme="minorHAnsi" w:hAnsiTheme="minorHAnsi"/>
        </w:rPr>
        <w:t>Solanum</w:t>
      </w:r>
      <w:proofErr w:type="spellEnd"/>
      <w:r w:rsidRPr="00E35A8A">
        <w:rPr>
          <w:rFonts w:asciiTheme="minorHAnsi" w:hAnsiTheme="minorHAnsi"/>
        </w:rPr>
        <w:t xml:space="preserve"> </w:t>
      </w:r>
      <w:proofErr w:type="spellStart"/>
      <w:r w:rsidRPr="00E35A8A">
        <w:rPr>
          <w:rFonts w:asciiTheme="minorHAnsi" w:hAnsiTheme="minorHAnsi"/>
        </w:rPr>
        <w:t>nigrum</w:t>
      </w:r>
      <w:proofErr w:type="spellEnd"/>
      <w:r w:rsidRPr="00E35A8A">
        <w:rPr>
          <w:rFonts w:asciiTheme="minorHAnsi" w:hAnsiTheme="minorHAnsi"/>
        </w:rPr>
        <w:t xml:space="preserve"> un bebrukārkliņa </w:t>
      </w:r>
      <w:proofErr w:type="spellStart"/>
      <w:r w:rsidRPr="00E35A8A">
        <w:rPr>
          <w:rFonts w:asciiTheme="minorHAnsi" w:hAnsiTheme="minorHAnsi"/>
        </w:rPr>
        <w:t>Solanum</w:t>
      </w:r>
      <w:proofErr w:type="spellEnd"/>
      <w:r w:rsidRPr="00E35A8A">
        <w:rPr>
          <w:rFonts w:asciiTheme="minorHAnsi" w:hAnsiTheme="minorHAnsi"/>
        </w:rPr>
        <w:t xml:space="preserve"> </w:t>
      </w:r>
      <w:proofErr w:type="spellStart"/>
      <w:r w:rsidRPr="00E35A8A">
        <w:rPr>
          <w:rFonts w:asciiTheme="minorHAnsi" w:hAnsiTheme="minorHAnsi"/>
        </w:rPr>
        <w:t>dulcamarum</w:t>
      </w:r>
      <w:proofErr w:type="spellEnd"/>
      <w:r w:rsidRPr="00E35A8A">
        <w:rPr>
          <w:rFonts w:asciiTheme="minorHAnsi" w:hAnsiTheme="minorHAnsi"/>
        </w:rPr>
        <w:t xml:space="preserve"> - paraugus. Ūdens paraugi tiek ņemti vietās, kur tuvumā aug kartupeļi, kā arī no kartupeļu pārstrādes uzņēmumu notekūdeņiem. 2012.gadā laboratoriskas analīzes veiktas 27 ūdens paraugiem un 27 savvaļas saimniekaugu paraugiem: 22 bebrukārkliņa un 2 melnās naktenes paraugiem. Arī šajos paraugos kartupeļu tumšā gredzenpuve netika konstatēta.</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Kartupeļu bumbuļu nematode </w:t>
      </w:r>
      <w:proofErr w:type="spellStart"/>
      <w:r w:rsidRPr="00E35A8A">
        <w:rPr>
          <w:rFonts w:asciiTheme="minorHAnsi" w:hAnsiTheme="minorHAnsi"/>
          <w:b/>
          <w:i/>
        </w:rPr>
        <w:t>Ditylenchus</w:t>
      </w:r>
      <w:proofErr w:type="spellEnd"/>
      <w:r w:rsidRPr="00E35A8A">
        <w:rPr>
          <w:rFonts w:asciiTheme="minorHAnsi" w:hAnsiTheme="minorHAnsi"/>
          <w:b/>
          <w:i/>
        </w:rPr>
        <w:t xml:space="preserve"> </w:t>
      </w:r>
      <w:proofErr w:type="spellStart"/>
      <w:r w:rsidRPr="00E35A8A">
        <w:rPr>
          <w:rFonts w:asciiTheme="minorHAnsi" w:hAnsiTheme="minorHAnsi"/>
          <w:b/>
          <w:i/>
        </w:rPr>
        <w:t>destructor</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Kartupeļu bumbuļu nematodes atklāšanai tiek pārbaudīti visi kartupeļu bumbuļu paraugi, kas ņemti kartupeļu gaišās un tumšās gredzenpuves noteikšanai. 2012.gada kartupeļu ražā </w:t>
      </w:r>
      <w:proofErr w:type="spellStart"/>
      <w:r w:rsidRPr="00E35A8A">
        <w:rPr>
          <w:rFonts w:asciiTheme="minorHAnsi" w:hAnsiTheme="minorHAnsi"/>
        </w:rPr>
        <w:t>Ditylenchus</w:t>
      </w:r>
      <w:proofErr w:type="spellEnd"/>
      <w:r w:rsidRPr="00E35A8A">
        <w:rPr>
          <w:rFonts w:asciiTheme="minorHAnsi" w:hAnsiTheme="minorHAnsi"/>
        </w:rPr>
        <w:t xml:space="preserve"> </w:t>
      </w:r>
      <w:proofErr w:type="spellStart"/>
      <w:r w:rsidRPr="00E35A8A">
        <w:rPr>
          <w:rFonts w:asciiTheme="minorHAnsi" w:hAnsiTheme="minorHAnsi"/>
        </w:rPr>
        <w:t>destructor</w:t>
      </w:r>
      <w:proofErr w:type="spellEnd"/>
      <w:r w:rsidRPr="00E35A8A">
        <w:rPr>
          <w:rFonts w:asciiTheme="minorHAnsi" w:hAnsiTheme="minorHAnsi"/>
        </w:rPr>
        <w:t xml:space="preserve"> tika konstatēta tikai 1 saimniecībā. Tā kā galvenais šī karantīnas organisma izplatīšanās veids ir ar </w:t>
      </w:r>
      <w:proofErr w:type="spellStart"/>
      <w:r w:rsidRPr="00E35A8A">
        <w:rPr>
          <w:rFonts w:asciiTheme="minorHAnsi" w:hAnsiTheme="minorHAnsi"/>
        </w:rPr>
        <w:t>invadētiem</w:t>
      </w:r>
      <w:proofErr w:type="spellEnd"/>
      <w:r w:rsidRPr="00E35A8A">
        <w:rPr>
          <w:rFonts w:asciiTheme="minorHAnsi" w:hAnsiTheme="minorHAnsi"/>
        </w:rPr>
        <w:t xml:space="preserve"> kartupeļu bumbuļiem, fitosanitārais pasākums, kas tiek piemērots kartupeļu bumbuļu nematodes konstatēšanas gadījumā, ir neizmantot inficētos kartupeļus stādīšanai.</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Pārbaudes augu karantīnas organismu un sevišķi bīstamo kaitīgo organismu klātbūtnes noteikšanai Latvijas teritorijā</w:t>
      </w:r>
    </w:p>
    <w:p w:rsidR="00E35A8A" w:rsidRPr="00E35A8A" w:rsidRDefault="00DB586F" w:rsidP="00E35A8A">
      <w:pPr>
        <w:widowControl w:val="0"/>
        <w:spacing w:before="120"/>
        <w:jc w:val="both"/>
        <w:rPr>
          <w:rFonts w:asciiTheme="minorHAnsi" w:hAnsiTheme="minorHAnsi"/>
        </w:rPr>
      </w:pPr>
      <w:r>
        <w:rPr>
          <w:rFonts w:asciiTheme="minorHAnsi" w:hAnsiTheme="minorHAnsi"/>
        </w:rPr>
        <w:t>VAAD</w:t>
      </w:r>
      <w:r w:rsidR="00E35A8A" w:rsidRPr="00E35A8A">
        <w:rPr>
          <w:rFonts w:asciiTheme="minorHAnsi" w:hAnsiTheme="minorHAnsi"/>
        </w:rPr>
        <w:t xml:space="preserve">, pamatojoties uz Eiropas Savienības lēmumiem, katru gadu veic pārbaudes Eiropas Savienībā aktuāliem augu karantīnas vai citiem sevišķi bīstamiem kaitīgiem organismiem, kuri </w:t>
      </w:r>
      <w:r w:rsidR="00E35A8A" w:rsidRPr="00E35A8A">
        <w:rPr>
          <w:rFonts w:asciiTheme="minorHAnsi" w:hAnsiTheme="minorHAnsi"/>
        </w:rPr>
        <w:lastRenderedPageBreak/>
        <w:t>rada nopietnus ekonomiskos zaudējumus, lai savlaicīgi atklātu tos, noteiktu to izplatību Latvijā un novērstu tālāku to izplatīšanos un ieviešanos.</w:t>
      </w:r>
    </w:p>
    <w:p w:rsidR="00E35A8A" w:rsidRPr="00E35A8A" w:rsidRDefault="00E35A8A" w:rsidP="00E35A8A">
      <w:pPr>
        <w:widowControl w:val="0"/>
        <w:spacing w:before="120"/>
        <w:jc w:val="both"/>
        <w:rPr>
          <w:rFonts w:asciiTheme="minorHAnsi" w:hAnsiTheme="minorHAnsi"/>
          <w:b/>
        </w:rPr>
      </w:pPr>
      <w:proofErr w:type="spellStart"/>
      <w:r w:rsidRPr="00E35A8A">
        <w:rPr>
          <w:rFonts w:asciiTheme="minorHAnsi" w:hAnsiTheme="minorHAnsi"/>
          <w:b/>
        </w:rPr>
        <w:t>Pepino</w:t>
      </w:r>
      <w:proofErr w:type="spellEnd"/>
      <w:r w:rsidRPr="00E35A8A">
        <w:rPr>
          <w:rFonts w:asciiTheme="minorHAnsi" w:hAnsiTheme="minorHAnsi"/>
          <w:b/>
        </w:rPr>
        <w:t xml:space="preserve"> mozaīkas vīruss</w:t>
      </w:r>
    </w:p>
    <w:p w:rsidR="00E35A8A" w:rsidRPr="00E35A8A" w:rsidRDefault="00E35A8A" w:rsidP="00E35A8A">
      <w:pPr>
        <w:widowControl w:val="0"/>
        <w:spacing w:before="120"/>
        <w:jc w:val="both"/>
        <w:rPr>
          <w:rFonts w:asciiTheme="minorHAnsi" w:hAnsiTheme="minorHAnsi"/>
        </w:rPr>
      </w:pPr>
      <w:proofErr w:type="spellStart"/>
      <w:r w:rsidRPr="00E35A8A">
        <w:rPr>
          <w:rFonts w:asciiTheme="minorHAnsi" w:hAnsiTheme="minorHAnsi"/>
        </w:rPr>
        <w:t>Pepino</w:t>
      </w:r>
      <w:proofErr w:type="spellEnd"/>
      <w:r w:rsidRPr="00E35A8A">
        <w:rPr>
          <w:rFonts w:asciiTheme="minorHAnsi" w:hAnsiTheme="minorHAnsi"/>
        </w:rPr>
        <w:t xml:space="preserve"> mozaīkas vīrusa galvenais saimniekaugs ir tomāti. Lielāko kaitējumu tas var nodarīt, ja tiek izplatīts ar inficētu stādāmo materiālu, jo iestādot šādus augus ražojošajos stādījumos, augiem ir zemākas kvalitātes augļi un paši augi pakāpeniski var aiziet bojā. Tāpat arī vīruss var tikt pārnests uz pārējiem augošajiem augiem gan ar dažādu aprīkojumu (piemēram, kastēm, darba rīkiem), gan ar rokām un apģērbu, līdz ar to pakāpeniski inficējot arvien vairāk un vairāk augu.</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Apsekojumos tika pārbaudītas stādu audzētavas, ražojošie stādījumi, tomātu sēklaudzēšanas vietas un augļu tirdzniecības vietas. 30 pārbaudēs tika pārbaudītas stādu audzētavās un noņemti 28 paraugi, kuros slimība netika konstatēta.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21 tirdzniecības vietā tika veiktas 26 pārbaudes, kuru laikā noņemti 14 paraugi. Četros no šiem paraugiem tika konstatēts </w:t>
      </w:r>
      <w:proofErr w:type="spellStart"/>
      <w:r w:rsidRPr="00E35A8A">
        <w:rPr>
          <w:rFonts w:asciiTheme="minorHAnsi" w:hAnsiTheme="minorHAnsi"/>
        </w:rPr>
        <w:t>Pepino</w:t>
      </w:r>
      <w:proofErr w:type="spellEnd"/>
      <w:r w:rsidRPr="00E35A8A">
        <w:rPr>
          <w:rFonts w:asciiTheme="minorHAnsi" w:hAnsiTheme="minorHAnsi"/>
        </w:rPr>
        <w:t xml:space="preserve"> mozaīkas vīruss. Inficētie tomāti bija Polijas (1), Nīderlandes (1), Beļģijas (1) un vietējās (1) izcelsmes. Tā kā vietējās izcelsmes paraugu ar pazīmēm bija atnesusi privātpersona, kura tomātus bija iegādājusies tirgū, tad noskaidrot šo inficēto tomātu audzēšanas vietu nebija iespējams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62 pārbaudes veiktas 44 tomātu ražojošo stādījumu vietās, kur noņemts 51 paraugs. Divi paraugi, kas bija ņemti ar pazīmēm no vienas tomātu augļu ražošanas saimniecības, bija pozitīvi. Veicot </w:t>
      </w:r>
      <w:proofErr w:type="spellStart"/>
      <w:r w:rsidRPr="00E35A8A">
        <w:rPr>
          <w:rFonts w:asciiTheme="minorHAnsi" w:hAnsiTheme="minorHAnsi"/>
        </w:rPr>
        <w:t>atpakaļizsekojamību</w:t>
      </w:r>
      <w:proofErr w:type="spellEnd"/>
      <w:r w:rsidRPr="00E35A8A">
        <w:rPr>
          <w:rFonts w:asciiTheme="minorHAnsi" w:hAnsiTheme="minorHAnsi"/>
        </w:rPr>
        <w:t xml:space="preserve"> konstatēt iespējamo vīrusa izcelšanās avotu diemžēl neizdevās. Iespējams tas ir ievazāts ar taru, līdz galam neievērojot sanitārās prasības. Tomātu audzēšanas saimniecībai ir ieteikts veikt rūpīgu siltumnīcas dezinfekciju, lai vīruss nākamajā gadā neinficētu no jauna iestādītos augus, un stingri ievērot piesardzības un sanitārās prasības.</w:t>
      </w:r>
    </w:p>
    <w:p w:rsidR="00E35A8A" w:rsidRPr="00E35A8A" w:rsidRDefault="00E35A8A" w:rsidP="00E35A8A">
      <w:pPr>
        <w:widowControl w:val="0"/>
        <w:spacing w:before="120"/>
        <w:jc w:val="both"/>
        <w:rPr>
          <w:rFonts w:asciiTheme="minorHAnsi" w:hAnsiTheme="minorHAnsi"/>
          <w:b/>
          <w:i/>
        </w:rPr>
      </w:pPr>
      <w:proofErr w:type="spellStart"/>
      <w:r w:rsidRPr="00E35A8A">
        <w:rPr>
          <w:rFonts w:asciiTheme="minorHAnsi" w:hAnsiTheme="minorHAnsi"/>
          <w:b/>
          <w:i/>
        </w:rPr>
        <w:t>Phytophthora</w:t>
      </w:r>
      <w:proofErr w:type="spellEnd"/>
      <w:r w:rsidRPr="00E35A8A">
        <w:rPr>
          <w:rFonts w:asciiTheme="minorHAnsi" w:hAnsiTheme="minorHAnsi"/>
          <w:b/>
          <w:i/>
        </w:rPr>
        <w:t xml:space="preserve"> </w:t>
      </w:r>
      <w:proofErr w:type="spellStart"/>
      <w:r w:rsidRPr="00E35A8A">
        <w:rPr>
          <w:rFonts w:asciiTheme="minorHAnsi" w:hAnsiTheme="minorHAnsi"/>
          <w:b/>
          <w:i/>
        </w:rPr>
        <w:t>ramorum</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Sēne </w:t>
      </w:r>
      <w:proofErr w:type="spellStart"/>
      <w:r w:rsidRPr="00E124B1">
        <w:rPr>
          <w:rFonts w:asciiTheme="minorHAnsi" w:hAnsiTheme="minorHAnsi"/>
          <w:i/>
        </w:rPr>
        <w:t>Phythophthora</w:t>
      </w:r>
      <w:proofErr w:type="spellEnd"/>
      <w:r w:rsidRPr="00E124B1">
        <w:rPr>
          <w:rFonts w:asciiTheme="minorHAnsi" w:hAnsiTheme="minorHAnsi"/>
          <w:i/>
        </w:rPr>
        <w:t xml:space="preserve"> </w:t>
      </w:r>
      <w:proofErr w:type="spellStart"/>
      <w:r w:rsidRPr="00E124B1">
        <w:rPr>
          <w:rFonts w:asciiTheme="minorHAnsi" w:hAnsiTheme="minorHAnsi"/>
          <w:i/>
        </w:rPr>
        <w:t>ramorum</w:t>
      </w:r>
      <w:proofErr w:type="spellEnd"/>
      <w:r w:rsidRPr="00E35A8A">
        <w:rPr>
          <w:rFonts w:asciiTheme="minorHAnsi" w:hAnsiTheme="minorHAnsi"/>
        </w:rPr>
        <w:t xml:space="preserve"> ir bīstams slimības ierosinātājs dekoratīvo koku un krūmu kokaudzētavās, apstādījumos un dārzos, kas labi attīstās vēsos un mitros apstākļos.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2012.gadā </w:t>
      </w:r>
      <w:proofErr w:type="spellStart"/>
      <w:r w:rsidRPr="00E124B1">
        <w:rPr>
          <w:rFonts w:asciiTheme="minorHAnsi" w:hAnsiTheme="minorHAnsi"/>
          <w:i/>
        </w:rPr>
        <w:t>Phytophthora</w:t>
      </w:r>
      <w:proofErr w:type="spellEnd"/>
      <w:r w:rsidRPr="00E124B1">
        <w:rPr>
          <w:rFonts w:asciiTheme="minorHAnsi" w:hAnsiTheme="minorHAnsi"/>
          <w:i/>
        </w:rPr>
        <w:t xml:space="preserve"> </w:t>
      </w:r>
      <w:proofErr w:type="spellStart"/>
      <w:r w:rsidRPr="00E124B1">
        <w:rPr>
          <w:rFonts w:asciiTheme="minorHAnsi" w:hAnsiTheme="minorHAnsi"/>
          <w:i/>
        </w:rPr>
        <w:t>ramorum</w:t>
      </w:r>
      <w:proofErr w:type="spellEnd"/>
      <w:r w:rsidRPr="00E35A8A">
        <w:rPr>
          <w:rFonts w:asciiTheme="minorHAnsi" w:hAnsiTheme="minorHAnsi"/>
        </w:rPr>
        <w:t xml:space="preserve"> izplatības noteikšanai tika veiktas 178 pārbaudes un pārbaudīti </w:t>
      </w:r>
      <w:proofErr w:type="spellStart"/>
      <w:r w:rsidRPr="00E35A8A">
        <w:rPr>
          <w:rFonts w:asciiTheme="minorHAnsi" w:hAnsiTheme="minorHAnsi"/>
        </w:rPr>
        <w:t>Phytophthora</w:t>
      </w:r>
      <w:proofErr w:type="spellEnd"/>
      <w:r w:rsidRPr="00E35A8A">
        <w:rPr>
          <w:rFonts w:asciiTheme="minorHAnsi" w:hAnsiTheme="minorHAnsi"/>
        </w:rPr>
        <w:t xml:space="preserve"> </w:t>
      </w:r>
      <w:proofErr w:type="spellStart"/>
      <w:r w:rsidRPr="00E35A8A">
        <w:rPr>
          <w:rFonts w:asciiTheme="minorHAnsi" w:hAnsiTheme="minorHAnsi"/>
        </w:rPr>
        <w:t>ramorum</w:t>
      </w:r>
      <w:proofErr w:type="spellEnd"/>
      <w:r w:rsidRPr="00E35A8A">
        <w:rPr>
          <w:rFonts w:asciiTheme="minorHAnsi" w:hAnsiTheme="minorHAnsi"/>
        </w:rPr>
        <w:t xml:space="preserve"> saimniekaugi (</w:t>
      </w:r>
      <w:proofErr w:type="spellStart"/>
      <w:r w:rsidRPr="00E124B1">
        <w:rPr>
          <w:rFonts w:asciiTheme="minorHAnsi" w:hAnsiTheme="minorHAnsi"/>
          <w:i/>
        </w:rPr>
        <w:t>Acer</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Aesculus</w:t>
      </w:r>
      <w:proofErr w:type="spellEnd"/>
      <w:r w:rsidRPr="00E124B1">
        <w:rPr>
          <w:rFonts w:asciiTheme="minorHAnsi" w:hAnsiTheme="minorHAnsi"/>
          <w:i/>
        </w:rPr>
        <w:t xml:space="preserve"> </w:t>
      </w:r>
      <w:proofErr w:type="spellStart"/>
      <w:r w:rsidRPr="00E124B1">
        <w:rPr>
          <w:rFonts w:asciiTheme="minorHAnsi" w:hAnsiTheme="minorHAnsi"/>
          <w:i/>
        </w:rPr>
        <w:t>hippocastanum</w:t>
      </w:r>
      <w:proofErr w:type="spellEnd"/>
      <w:r w:rsidRPr="00E124B1">
        <w:rPr>
          <w:rFonts w:asciiTheme="minorHAnsi" w:hAnsiTheme="minorHAnsi"/>
          <w:i/>
        </w:rPr>
        <w:t xml:space="preserve">, </w:t>
      </w:r>
      <w:proofErr w:type="spellStart"/>
      <w:r w:rsidRPr="00E124B1">
        <w:rPr>
          <w:rFonts w:asciiTheme="minorHAnsi" w:hAnsiTheme="minorHAnsi"/>
          <w:i/>
        </w:rPr>
        <w:t>Camellia</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Fagus</w:t>
      </w:r>
      <w:proofErr w:type="spellEnd"/>
      <w:r w:rsidRPr="00E124B1">
        <w:rPr>
          <w:rFonts w:asciiTheme="minorHAnsi" w:hAnsiTheme="minorHAnsi"/>
          <w:i/>
        </w:rPr>
        <w:t xml:space="preserve"> </w:t>
      </w:r>
      <w:proofErr w:type="spellStart"/>
      <w:r w:rsidRPr="00E124B1">
        <w:rPr>
          <w:rFonts w:asciiTheme="minorHAnsi" w:hAnsiTheme="minorHAnsi"/>
          <w:i/>
        </w:rPr>
        <w:t>sylvatica</w:t>
      </w:r>
      <w:proofErr w:type="spellEnd"/>
      <w:r w:rsidRPr="00E124B1">
        <w:rPr>
          <w:rFonts w:asciiTheme="minorHAnsi" w:hAnsiTheme="minorHAnsi"/>
          <w:i/>
        </w:rPr>
        <w:t xml:space="preserve">, Pieris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Quercus</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Rhododendron</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Rosa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Salix</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Syringa</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Taxus</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Vaccinium</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124B1">
        <w:rPr>
          <w:rFonts w:asciiTheme="minorHAnsi" w:hAnsiTheme="minorHAnsi"/>
          <w:i/>
        </w:rPr>
        <w:t xml:space="preserve">., </w:t>
      </w:r>
      <w:proofErr w:type="spellStart"/>
      <w:r w:rsidRPr="00E124B1">
        <w:rPr>
          <w:rFonts w:asciiTheme="minorHAnsi" w:hAnsiTheme="minorHAnsi"/>
          <w:i/>
        </w:rPr>
        <w:t>Viburnum</w:t>
      </w:r>
      <w:proofErr w:type="spellEnd"/>
      <w:r w:rsidRPr="00E124B1">
        <w:rPr>
          <w:rFonts w:asciiTheme="minorHAnsi" w:hAnsiTheme="minorHAnsi"/>
          <w:i/>
        </w:rPr>
        <w:t xml:space="preserve"> </w:t>
      </w:r>
      <w:proofErr w:type="spellStart"/>
      <w:r w:rsidRPr="00E124B1">
        <w:rPr>
          <w:rFonts w:asciiTheme="minorHAnsi" w:hAnsiTheme="minorHAnsi"/>
          <w:i/>
        </w:rPr>
        <w:t>spp</w:t>
      </w:r>
      <w:proofErr w:type="spellEnd"/>
      <w:r w:rsidRPr="00E35A8A">
        <w:rPr>
          <w:rFonts w:asciiTheme="minorHAnsi" w:hAnsiTheme="minorHAnsi"/>
        </w:rPr>
        <w:t>.) dekoratīvo augu stādaudzētavās, vietējās izcelsmes materiālam (pārbaudes dārzkopības centros, apstādījumos), kā arī tirdzniecības vietās un stādaudzētavās ES dalībvalstu izcelsmes materiālam. Šo pārbaužu laikā tika noņemti 56 paraugi. Slimība netika konstatēta.</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Kukurūzas vabole </w:t>
      </w:r>
      <w:proofErr w:type="spellStart"/>
      <w:r w:rsidRPr="00E35A8A">
        <w:rPr>
          <w:rFonts w:asciiTheme="minorHAnsi" w:hAnsiTheme="minorHAnsi"/>
          <w:b/>
          <w:i/>
        </w:rPr>
        <w:t>Diabrotica</w:t>
      </w:r>
      <w:proofErr w:type="spellEnd"/>
      <w:r w:rsidRPr="00E35A8A">
        <w:rPr>
          <w:rFonts w:asciiTheme="minorHAnsi" w:hAnsiTheme="minorHAnsi"/>
          <w:b/>
          <w:i/>
        </w:rPr>
        <w:t xml:space="preserve"> </w:t>
      </w:r>
      <w:proofErr w:type="spellStart"/>
      <w:r w:rsidRPr="00E35A8A">
        <w:rPr>
          <w:rFonts w:asciiTheme="minorHAnsi" w:hAnsiTheme="minorHAnsi"/>
          <w:b/>
          <w:i/>
        </w:rPr>
        <w:t>virgifera</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2012.gadā kukurūzas vaboles </w:t>
      </w:r>
      <w:proofErr w:type="spellStart"/>
      <w:r w:rsidRPr="00E35A8A">
        <w:rPr>
          <w:rFonts w:asciiTheme="minorHAnsi" w:hAnsiTheme="minorHAnsi"/>
        </w:rPr>
        <w:t>Diabrotica</w:t>
      </w:r>
      <w:proofErr w:type="spellEnd"/>
      <w:r w:rsidRPr="00E35A8A">
        <w:rPr>
          <w:rFonts w:asciiTheme="minorHAnsi" w:hAnsiTheme="minorHAnsi"/>
        </w:rPr>
        <w:t xml:space="preserve"> </w:t>
      </w:r>
      <w:proofErr w:type="spellStart"/>
      <w:r w:rsidRPr="00E35A8A">
        <w:rPr>
          <w:rFonts w:asciiTheme="minorHAnsi" w:hAnsiTheme="minorHAnsi"/>
        </w:rPr>
        <w:t>virgifera</w:t>
      </w:r>
      <w:proofErr w:type="spellEnd"/>
      <w:r w:rsidRPr="00E35A8A">
        <w:rPr>
          <w:rFonts w:asciiTheme="minorHAnsi" w:hAnsiTheme="minorHAnsi"/>
        </w:rPr>
        <w:t xml:space="preserve"> noteikšanai tika veikta 51 vizuālā pārbaude. Pārbaudītas tika 27 kukurūzas audzēšanas saimniecības, 951,8 ha platībā. Apsekojumos tika izmantoti 25 feromonu slazdi vaboļu tēviņu pievilināšanai, kas pēc to noņemšanas tika nosūtīti uz laboratoriju sugu noteikšanai. Pārbaude veikta arī lidostas Rīga teritorijā.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Kukurūzas vabole netika konstatēta.</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Citrusu ūsainis </w:t>
      </w:r>
      <w:proofErr w:type="spellStart"/>
      <w:r w:rsidRPr="00E35A8A">
        <w:rPr>
          <w:rFonts w:asciiTheme="minorHAnsi" w:hAnsiTheme="minorHAnsi"/>
          <w:b/>
        </w:rPr>
        <w:t>Anoplophora</w:t>
      </w:r>
      <w:proofErr w:type="spellEnd"/>
      <w:r w:rsidRPr="00E35A8A">
        <w:rPr>
          <w:rFonts w:asciiTheme="minorHAnsi" w:hAnsiTheme="minorHAnsi"/>
          <w:b/>
        </w:rPr>
        <w:t xml:space="preserve"> </w:t>
      </w:r>
      <w:proofErr w:type="spellStart"/>
      <w:r w:rsidRPr="00E35A8A">
        <w:rPr>
          <w:rFonts w:asciiTheme="minorHAnsi" w:hAnsiTheme="minorHAnsi"/>
          <w:b/>
        </w:rPr>
        <w:t>chinensis</w:t>
      </w:r>
      <w:proofErr w:type="spellEnd"/>
      <w:r w:rsidRPr="00E35A8A">
        <w:rPr>
          <w:rFonts w:asciiTheme="minorHAnsi" w:hAnsiTheme="minorHAnsi"/>
          <w:b/>
        </w:rPr>
        <w:t xml:space="preserve"> un Āzijas ūsainis </w:t>
      </w:r>
      <w:proofErr w:type="spellStart"/>
      <w:r w:rsidRPr="00E35A8A">
        <w:rPr>
          <w:rFonts w:asciiTheme="minorHAnsi" w:hAnsiTheme="minorHAnsi"/>
          <w:b/>
        </w:rPr>
        <w:t>Anoplophora</w:t>
      </w:r>
      <w:proofErr w:type="spellEnd"/>
      <w:r w:rsidRPr="00E35A8A">
        <w:rPr>
          <w:rFonts w:asciiTheme="minorHAnsi" w:hAnsiTheme="minorHAnsi"/>
          <w:b/>
        </w:rPr>
        <w:t xml:space="preserve"> </w:t>
      </w:r>
      <w:proofErr w:type="spellStart"/>
      <w:r w:rsidRPr="00E35A8A">
        <w:rPr>
          <w:rFonts w:asciiTheme="minorHAnsi" w:hAnsiTheme="minorHAnsi"/>
          <w:b/>
        </w:rPr>
        <w:t>glabripennis</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Citrusu ūsainis </w:t>
      </w:r>
      <w:proofErr w:type="spellStart"/>
      <w:r w:rsidRPr="00E35A8A">
        <w:rPr>
          <w:rFonts w:asciiTheme="minorHAnsi" w:hAnsiTheme="minorHAnsi"/>
        </w:rPr>
        <w:t>Anoplophora</w:t>
      </w:r>
      <w:proofErr w:type="spellEnd"/>
      <w:r w:rsidRPr="00E35A8A">
        <w:rPr>
          <w:rFonts w:asciiTheme="minorHAnsi" w:hAnsiTheme="minorHAnsi"/>
        </w:rPr>
        <w:t xml:space="preserve"> </w:t>
      </w:r>
      <w:proofErr w:type="spellStart"/>
      <w:r w:rsidRPr="00E35A8A">
        <w:rPr>
          <w:rFonts w:asciiTheme="minorHAnsi" w:hAnsiTheme="minorHAnsi"/>
        </w:rPr>
        <w:t>chinensis</w:t>
      </w:r>
      <w:proofErr w:type="spellEnd"/>
      <w:r w:rsidRPr="00E35A8A">
        <w:rPr>
          <w:rFonts w:asciiTheme="minorHAnsi" w:hAnsiTheme="minorHAnsi"/>
        </w:rPr>
        <w:t xml:space="preserve"> un Āzijas ūsainis </w:t>
      </w:r>
      <w:proofErr w:type="spellStart"/>
      <w:r w:rsidRPr="00E35A8A">
        <w:rPr>
          <w:rFonts w:asciiTheme="minorHAnsi" w:hAnsiTheme="minorHAnsi"/>
        </w:rPr>
        <w:t>Anoplophora</w:t>
      </w:r>
      <w:proofErr w:type="spellEnd"/>
      <w:r w:rsidRPr="00E35A8A">
        <w:rPr>
          <w:rFonts w:asciiTheme="minorHAnsi" w:hAnsiTheme="minorHAnsi"/>
        </w:rPr>
        <w:t xml:space="preserve"> </w:t>
      </w:r>
      <w:proofErr w:type="spellStart"/>
      <w:r w:rsidRPr="00E35A8A">
        <w:rPr>
          <w:rFonts w:asciiTheme="minorHAnsi" w:hAnsiTheme="minorHAnsi"/>
        </w:rPr>
        <w:t>glabripenis</w:t>
      </w:r>
      <w:proofErr w:type="spellEnd"/>
      <w:r w:rsidRPr="00E35A8A">
        <w:rPr>
          <w:rFonts w:asciiTheme="minorHAnsi" w:hAnsiTheme="minorHAnsi"/>
        </w:rPr>
        <w:t xml:space="preserve"> ir lapu koku kaitēkļi, kas apdraud izplatītākās lapu koku sugas – bērzus, alkšņus, kļavas, apses, vītolus un </w:t>
      </w:r>
      <w:r w:rsidRPr="00E35A8A">
        <w:rPr>
          <w:rFonts w:asciiTheme="minorHAnsi" w:hAnsiTheme="minorHAnsi"/>
        </w:rPr>
        <w:lastRenderedPageBreak/>
        <w:t xml:space="preserve">citas sugas. Šie kaitēkļi ar tirdzniecībā izmantotu koksnes iepakojamo materiālu un stādāmo materiālu no Āzijas valstīm ir ievesti vairākās Eiropas Savienības valstīs, kur tie rada būtiskus ekonomisko zaudējumus, jo </w:t>
      </w:r>
      <w:proofErr w:type="spellStart"/>
      <w:r w:rsidRPr="00E35A8A">
        <w:rPr>
          <w:rFonts w:asciiTheme="minorHAnsi" w:hAnsiTheme="minorHAnsi"/>
        </w:rPr>
        <w:t>invadētie</w:t>
      </w:r>
      <w:proofErr w:type="spellEnd"/>
      <w:r w:rsidRPr="00E35A8A">
        <w:rPr>
          <w:rFonts w:asciiTheme="minorHAnsi" w:hAnsiTheme="minorHAnsi"/>
        </w:rPr>
        <w:t xml:space="preserve"> koki ļoti strauji aiziet bojā. Pēdējo gadu pieredze rāda, ka tie var pārziemot Viduseiropas klimatiskajos apstākļos– Vācijā, Nīderlandē, Austrijā, tādējādi pastāv risks, ka šie ūsaiņi varētu pārziemot un ieviesties arī Latvijas teritorijā.</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2012.gadā tika veiktas 38 pārbaudes 29 dekoratīvo koku un meža kultūru stādaudzētavās, 28 pārbaudes 15 tirdzniecības vietās un 1 pārbaude publisko apstādījumu vietā. Kaitēkļu konstatēšanai tika noņemti 6 paraugi (kukaiņi vai augi ar raksturīgiem bojājumiem), kuri nosūtīti testēšanai uz laboratoriju. Veikta 1 pārbaude uzņēmuma teritorijā, kur no Āzijas valstīm (Ķīnas) ieved akmens kravas, izmantojot koksnes iepakojamo materiālu. Pārbaudīts gan koksnes iepakojamais materiāls, kas atrodas šī uzņēmuma teritorijā, gan uzņēmuma  teritorijā un tā tuvākajā apkārtnē augošos ūsaiņu saimniekaugus.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Citrusu un Āzijas ūsainis šajās pārbaudēs netika konstatēts.</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Kartupeļu vārpstveida </w:t>
      </w:r>
      <w:proofErr w:type="spellStart"/>
      <w:r w:rsidRPr="00E35A8A">
        <w:rPr>
          <w:rFonts w:asciiTheme="minorHAnsi" w:hAnsiTheme="minorHAnsi"/>
          <w:b/>
        </w:rPr>
        <w:t>viroīds</w:t>
      </w:r>
      <w:proofErr w:type="spellEnd"/>
      <w:r w:rsidRPr="00E35A8A">
        <w:rPr>
          <w:rFonts w:asciiTheme="minorHAnsi" w:hAnsiTheme="minorHAnsi"/>
          <w:b/>
        </w:rPr>
        <w:t xml:space="preserve"> </w:t>
      </w:r>
      <w:proofErr w:type="spellStart"/>
      <w:r w:rsidRPr="00E35A8A">
        <w:rPr>
          <w:rFonts w:asciiTheme="minorHAnsi" w:hAnsiTheme="minorHAnsi"/>
          <w:b/>
        </w:rPr>
        <w:t>Potato</w:t>
      </w:r>
      <w:proofErr w:type="spellEnd"/>
      <w:r w:rsidRPr="00E35A8A">
        <w:rPr>
          <w:rFonts w:asciiTheme="minorHAnsi" w:hAnsiTheme="minorHAnsi"/>
          <w:b/>
        </w:rPr>
        <w:t xml:space="preserve"> spindele </w:t>
      </w:r>
      <w:proofErr w:type="spellStart"/>
      <w:r w:rsidRPr="00E35A8A">
        <w:rPr>
          <w:rFonts w:asciiTheme="minorHAnsi" w:hAnsiTheme="minorHAnsi"/>
          <w:b/>
        </w:rPr>
        <w:t>tuber</w:t>
      </w:r>
      <w:proofErr w:type="spellEnd"/>
      <w:r w:rsidRPr="00E35A8A">
        <w:rPr>
          <w:rFonts w:asciiTheme="minorHAnsi" w:hAnsiTheme="minorHAnsi"/>
          <w:b/>
        </w:rPr>
        <w:t xml:space="preserve"> </w:t>
      </w:r>
      <w:proofErr w:type="spellStart"/>
      <w:r w:rsidRPr="00E35A8A">
        <w:rPr>
          <w:rFonts w:asciiTheme="minorHAnsi" w:hAnsiTheme="minorHAnsi"/>
          <w:b/>
        </w:rPr>
        <w:t>viroid</w:t>
      </w:r>
      <w:proofErr w:type="spellEnd"/>
      <w:r w:rsidRPr="00E35A8A">
        <w:rPr>
          <w:rFonts w:asciiTheme="minorHAnsi" w:hAnsiTheme="minorHAnsi"/>
          <w:b/>
        </w:rPr>
        <w:t xml:space="preserve"> (</w:t>
      </w:r>
      <w:proofErr w:type="spellStart"/>
      <w:r w:rsidRPr="00E35A8A">
        <w:rPr>
          <w:rFonts w:asciiTheme="minorHAnsi" w:hAnsiTheme="minorHAnsi"/>
          <w:b/>
        </w:rPr>
        <w:t>PSTV’d</w:t>
      </w:r>
      <w:proofErr w:type="spellEnd"/>
      <w:r w:rsidRPr="00E35A8A">
        <w:rPr>
          <w:rFonts w:asciiTheme="minorHAnsi" w:hAnsiTheme="minorHAnsi"/>
          <w:b/>
        </w:rPr>
        <w:t>)</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2012.gadā veiktas 38 pārbaudes un noņemti 79 paraugi </w:t>
      </w:r>
      <w:proofErr w:type="spellStart"/>
      <w:r w:rsidRPr="00E35A8A">
        <w:rPr>
          <w:rFonts w:asciiTheme="minorHAnsi" w:hAnsiTheme="minorHAnsi"/>
        </w:rPr>
        <w:t>PSTV’d</w:t>
      </w:r>
      <w:proofErr w:type="spellEnd"/>
      <w:r w:rsidRPr="00E35A8A">
        <w:rPr>
          <w:rFonts w:asciiTheme="minorHAnsi" w:hAnsiTheme="minorHAnsi"/>
        </w:rPr>
        <w:t xml:space="preserve"> noteikšanai, kuru laikā tika pārbaudīti: sēklas kartupeļi (sertificēšanai), genofonda kartupeļi, tomātu sēklu audzēšanas saimniecības, dekoratīvo stādu audzētavas un tirdzniecības vietas.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Kopā veiktas 13 pārbaudes 2 kartupeļu sēklaudzēšanas saimniecībās. Noņemts 31 paraugs no augsto kategoriju (IS, PB1, PB2, B1) sēklas kartupeļiem, kuros </w:t>
      </w:r>
      <w:proofErr w:type="spellStart"/>
      <w:r w:rsidRPr="00E35A8A">
        <w:rPr>
          <w:rFonts w:asciiTheme="minorHAnsi" w:hAnsiTheme="minorHAnsi"/>
        </w:rPr>
        <w:t>PSTV’d</w:t>
      </w:r>
      <w:proofErr w:type="spellEnd"/>
      <w:r w:rsidRPr="00E35A8A">
        <w:rPr>
          <w:rFonts w:asciiTheme="minorHAnsi" w:hAnsiTheme="minorHAnsi"/>
        </w:rPr>
        <w:t xml:space="preserve"> nekonstatēja.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Kartupeļu genofonda pārbaudē veikta 1 pārbaude vienā saimniecībā, kur noņemti 45 paraugi. </w:t>
      </w:r>
      <w:proofErr w:type="spellStart"/>
      <w:r w:rsidRPr="00E35A8A">
        <w:rPr>
          <w:rFonts w:asciiTheme="minorHAnsi" w:hAnsiTheme="minorHAnsi"/>
        </w:rPr>
        <w:t>PSTV’d</w:t>
      </w:r>
      <w:proofErr w:type="spellEnd"/>
      <w:r w:rsidRPr="00E35A8A">
        <w:rPr>
          <w:rFonts w:asciiTheme="minorHAnsi" w:hAnsiTheme="minorHAnsi"/>
        </w:rPr>
        <w:t xml:space="preserve"> netika konstatēts.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Pārbaudītas 2 tomātu sēklu audzēšanas saimniecības un noņemti 2 paraugi no sēklu ieguvei paredzētajiem tomātiem. </w:t>
      </w:r>
      <w:proofErr w:type="spellStart"/>
      <w:r w:rsidRPr="00E35A8A">
        <w:rPr>
          <w:rFonts w:asciiTheme="minorHAnsi" w:hAnsiTheme="minorHAnsi"/>
        </w:rPr>
        <w:t>Viroīds</w:t>
      </w:r>
      <w:proofErr w:type="spellEnd"/>
      <w:r w:rsidRPr="00E35A8A">
        <w:rPr>
          <w:rFonts w:asciiTheme="minorHAnsi" w:hAnsiTheme="minorHAnsi"/>
        </w:rPr>
        <w:t xml:space="preserve"> šajos paraugos netika konstatēts.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Veiktas 11 pārbaudes dekoratīvo stādu audzētavās, kurās pārbaudīti petūniju, </w:t>
      </w:r>
      <w:proofErr w:type="spellStart"/>
      <w:r w:rsidRPr="00E35A8A">
        <w:rPr>
          <w:rFonts w:asciiTheme="minorHAnsi" w:hAnsiTheme="minorHAnsi"/>
        </w:rPr>
        <w:t>brugmansiju</w:t>
      </w:r>
      <w:proofErr w:type="spellEnd"/>
      <w:r w:rsidRPr="00E35A8A">
        <w:rPr>
          <w:rFonts w:asciiTheme="minorHAnsi" w:hAnsiTheme="minorHAnsi"/>
        </w:rPr>
        <w:t xml:space="preserve"> (</w:t>
      </w:r>
      <w:proofErr w:type="spellStart"/>
      <w:r w:rsidRPr="00E35A8A">
        <w:rPr>
          <w:rFonts w:asciiTheme="minorHAnsi" w:hAnsiTheme="minorHAnsi"/>
        </w:rPr>
        <w:t>enģeļtauru</w:t>
      </w:r>
      <w:proofErr w:type="spellEnd"/>
      <w:r w:rsidRPr="00E35A8A">
        <w:rPr>
          <w:rFonts w:asciiTheme="minorHAnsi" w:hAnsiTheme="minorHAnsi"/>
        </w:rPr>
        <w:t xml:space="preserve">) un tabakas stādi, un noņemts 1 paraugs laboratoriskai testēšanai. </w:t>
      </w:r>
      <w:proofErr w:type="spellStart"/>
      <w:r w:rsidRPr="00E35A8A">
        <w:rPr>
          <w:rFonts w:asciiTheme="minorHAnsi" w:hAnsiTheme="minorHAnsi"/>
        </w:rPr>
        <w:t>Vīroīds</w:t>
      </w:r>
      <w:proofErr w:type="spellEnd"/>
      <w:r w:rsidRPr="00E35A8A">
        <w:rPr>
          <w:rFonts w:asciiTheme="minorHAnsi" w:hAnsiTheme="minorHAnsi"/>
        </w:rPr>
        <w:t xml:space="preserve"> netika atrasts.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Tirdzniecības vietās pārbaudīti vietējās un ES valstu izcelsmes dekoratīvo augu –petūniju, </w:t>
      </w:r>
      <w:proofErr w:type="spellStart"/>
      <w:r w:rsidRPr="00E35A8A">
        <w:rPr>
          <w:rFonts w:asciiTheme="minorHAnsi" w:hAnsiTheme="minorHAnsi"/>
        </w:rPr>
        <w:t>brugmansiju</w:t>
      </w:r>
      <w:proofErr w:type="spellEnd"/>
      <w:r w:rsidRPr="00E35A8A">
        <w:rPr>
          <w:rFonts w:asciiTheme="minorHAnsi" w:hAnsiTheme="minorHAnsi"/>
        </w:rPr>
        <w:t xml:space="preserve"> (</w:t>
      </w:r>
      <w:proofErr w:type="spellStart"/>
      <w:r w:rsidRPr="00E35A8A">
        <w:rPr>
          <w:rFonts w:asciiTheme="minorHAnsi" w:hAnsiTheme="minorHAnsi"/>
        </w:rPr>
        <w:t>enģeļtauru</w:t>
      </w:r>
      <w:proofErr w:type="spellEnd"/>
      <w:r w:rsidRPr="00E35A8A">
        <w:rPr>
          <w:rFonts w:asciiTheme="minorHAnsi" w:hAnsiTheme="minorHAnsi"/>
        </w:rPr>
        <w:t>) un tabakas stādi. Veiktas 10 pārbaudes, paraugi laboratoriskai analizēšanai netika ņemti, jo nebija redzamas vizuālās pazīmes.</w:t>
      </w:r>
    </w:p>
    <w:p w:rsidR="00E35A8A" w:rsidRPr="00E35A8A" w:rsidRDefault="00E35A8A" w:rsidP="00E35A8A">
      <w:pPr>
        <w:widowControl w:val="0"/>
        <w:spacing w:before="120"/>
        <w:jc w:val="both"/>
        <w:rPr>
          <w:rFonts w:asciiTheme="minorHAnsi" w:hAnsiTheme="minorHAnsi"/>
          <w:b/>
        </w:rPr>
      </w:pPr>
      <w:r w:rsidRPr="00E35A8A">
        <w:rPr>
          <w:rFonts w:asciiTheme="minorHAnsi" w:hAnsiTheme="minorHAnsi"/>
          <w:b/>
        </w:rPr>
        <w:t xml:space="preserve">Kartupeļu spradži </w:t>
      </w:r>
      <w:proofErr w:type="spellStart"/>
      <w:r w:rsidRPr="00E35A8A">
        <w:rPr>
          <w:rFonts w:asciiTheme="minorHAnsi" w:hAnsiTheme="minorHAnsi"/>
          <w:b/>
        </w:rPr>
        <w:t>Epitrix</w:t>
      </w:r>
      <w:proofErr w:type="spellEnd"/>
      <w:r w:rsidRPr="00E35A8A">
        <w:rPr>
          <w:rFonts w:asciiTheme="minorHAnsi" w:hAnsiTheme="minorHAnsi"/>
          <w:b/>
        </w:rPr>
        <w:t xml:space="preserve"> </w:t>
      </w:r>
      <w:proofErr w:type="spellStart"/>
      <w:r w:rsidRPr="00E35A8A">
        <w:rPr>
          <w:rFonts w:asciiTheme="minorHAnsi" w:hAnsiTheme="minorHAnsi"/>
          <w:b/>
        </w:rPr>
        <w:t>spp</w:t>
      </w:r>
      <w:proofErr w:type="spellEnd"/>
      <w:r w:rsidRPr="00E35A8A">
        <w:rPr>
          <w:rFonts w:asciiTheme="minorHAnsi" w:hAnsiTheme="minorHAnsi"/>
          <w:b/>
        </w:rPr>
        <w:t>.</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2012.gada 16.maijā stājās spēkā ES </w:t>
      </w:r>
      <w:smartTag w:uri="schemas-tilde-lv/tildestengine" w:element="veidnes">
        <w:smartTagPr>
          <w:attr w:name="id" w:val="-1"/>
          <w:attr w:name="baseform" w:val="lēmums"/>
          <w:attr w:name="text" w:val="lēmums"/>
        </w:smartTagPr>
        <w:r w:rsidRPr="00E35A8A">
          <w:rPr>
            <w:rFonts w:asciiTheme="minorHAnsi" w:hAnsiTheme="minorHAnsi"/>
          </w:rPr>
          <w:t>lēmums</w:t>
        </w:r>
      </w:smartTag>
      <w:r w:rsidRPr="00E35A8A">
        <w:rPr>
          <w:rFonts w:asciiTheme="minorHAnsi" w:hAnsiTheme="minorHAnsi"/>
        </w:rPr>
        <w:t xml:space="preserve"> Nr.2012/270/ES par ārkārtas pasākumiem, lai novērstu kartupeļu spradžu ievešanu un izplatīšanos Eiropas Savienībā. Kartupeļu spradži ir konstatēti Spānijā un Portugālē. Saskaņā ar lēmumu, dalībvalstīm katru gadu jāveic apsekojumi, lai pārbaudītu, vai šis kaitīgais organisms nav ieviesies valstī. </w:t>
      </w:r>
      <w:r w:rsidR="00DB586F">
        <w:rPr>
          <w:rFonts w:asciiTheme="minorHAnsi" w:hAnsiTheme="minorHAnsi"/>
        </w:rPr>
        <w:t>VAAD</w:t>
      </w:r>
      <w:r w:rsidRPr="00E35A8A">
        <w:rPr>
          <w:rFonts w:asciiTheme="minorHAnsi" w:hAnsiTheme="minorHAnsi"/>
        </w:rPr>
        <w:t xml:space="preserve"> 2012.gadā pārbaudes kartupeļu spradžu atklāšanai veica vienlaicīgi ar monitoringu kartupeļu gaišās un tumšās gredzenpuves izplatības noteikšanai. Sēklas un pārtikas kartupeļu audzēšanas saimniecībās kopā noņemti un pārbaudīti 905 kartupeļu bumbuļu paraugi. Pārbaudīti arī no citām ES dalībvalstīm (Vācijas, Nīderlandes, Dānijas) ievestie sēklas kartupeļi. Ne Latvijas, ne ievestajos kartupeļos kartupeļu spradži netika konstatēti.</w:t>
      </w:r>
    </w:p>
    <w:p w:rsidR="00E35A8A" w:rsidRPr="00E35A8A" w:rsidRDefault="00E35A8A" w:rsidP="00E35A8A">
      <w:pPr>
        <w:widowControl w:val="0"/>
        <w:spacing w:before="120"/>
        <w:jc w:val="both"/>
        <w:rPr>
          <w:rFonts w:asciiTheme="minorHAnsi" w:hAnsiTheme="minorHAnsi"/>
          <w:b/>
        </w:rPr>
      </w:pPr>
      <w:proofErr w:type="spellStart"/>
      <w:r w:rsidRPr="00E35A8A">
        <w:rPr>
          <w:rFonts w:asciiTheme="minorHAnsi" w:hAnsiTheme="minorHAnsi"/>
          <w:b/>
        </w:rPr>
        <w:t>Gibberella</w:t>
      </w:r>
      <w:proofErr w:type="spellEnd"/>
      <w:r w:rsidRPr="00E35A8A">
        <w:rPr>
          <w:rFonts w:asciiTheme="minorHAnsi" w:hAnsiTheme="minorHAnsi"/>
          <w:b/>
        </w:rPr>
        <w:t xml:space="preserve"> </w:t>
      </w:r>
      <w:proofErr w:type="spellStart"/>
      <w:r w:rsidRPr="00E35A8A">
        <w:rPr>
          <w:rFonts w:asciiTheme="minorHAnsi" w:hAnsiTheme="minorHAnsi"/>
          <w:b/>
        </w:rPr>
        <w:t>circinata</w:t>
      </w:r>
      <w:proofErr w:type="spellEnd"/>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Šo sēņu izraisītā slimība ir konstatēta Eiropas Savienības Dienvidu valstīs – Spānijā un Portugālē. Jau no 2007.gada </w:t>
      </w:r>
      <w:r w:rsidR="00DB586F">
        <w:rPr>
          <w:rFonts w:asciiTheme="minorHAnsi" w:hAnsiTheme="minorHAnsi"/>
        </w:rPr>
        <w:t>VAAD</w:t>
      </w:r>
      <w:r w:rsidRPr="00E35A8A">
        <w:rPr>
          <w:rFonts w:asciiTheme="minorHAnsi" w:hAnsiTheme="minorHAnsi"/>
        </w:rPr>
        <w:t xml:space="preserve"> veic pārbaudes meža reproduktīvā materiāla kokaudzētavās, pārbaudot priežu stādāmo materiālu, lai pārliecinātos, ka Latvijā nav ievesta </w:t>
      </w:r>
      <w:r w:rsidRPr="00E35A8A">
        <w:rPr>
          <w:rFonts w:asciiTheme="minorHAnsi" w:hAnsiTheme="minorHAnsi"/>
        </w:rPr>
        <w:lastRenderedPageBreak/>
        <w:t>šis kaitīgais organisms. Slimība ir bīstama tieši stādāmajam materiālam, jo augi var aiziet bojā. 2012.gadā pārbaudītas 24 kokaudzētavas, kurās audzē priežu stādus un noņemti 45 paraugi. Tā kā slimība var inficēt arī priežu sēklas, tad noņemti arī 3 priežu sēklu paraugi laboratoriskajai testēšanai. Ne stādu, sēklu paraugos slimība netika konstatēta.</w:t>
      </w:r>
    </w:p>
    <w:p w:rsidR="002838F2" w:rsidRPr="00E35A8A" w:rsidRDefault="002838F2" w:rsidP="00E35A8A">
      <w:pPr>
        <w:widowControl w:val="0"/>
        <w:shd w:val="clear" w:color="auto" w:fill="EAF1DD" w:themeFill="accent3" w:themeFillTint="33"/>
        <w:spacing w:before="120"/>
        <w:jc w:val="both"/>
        <w:rPr>
          <w:rFonts w:asciiTheme="minorHAnsi" w:hAnsiTheme="minorHAnsi"/>
          <w:sz w:val="28"/>
        </w:rPr>
      </w:pPr>
      <w:bookmarkStart w:id="26" w:name="_Toc202942442"/>
      <w:bookmarkStart w:id="27" w:name="_Toc204739241"/>
      <w:r w:rsidRPr="00E35A8A">
        <w:rPr>
          <w:rFonts w:asciiTheme="minorHAnsi" w:hAnsiTheme="minorHAnsi"/>
          <w:sz w:val="28"/>
        </w:rPr>
        <w:t>Pārbaudes stādāmajam un pavairojamam materiālam</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Veicot pārbaudes stādāmajam un pavairojamam materiālam, tiek nodrošināta veselīga un kvalitatīva Latvijas izcelsmes stādāmā materiāla aprite. Inficēts stādāmais un pavairojamais materiāls ir galvenais slimību un kaitēkļu pārnēsātājs un var apdraudēt valsts fitosanitāro stāvokli, radīt lielus ekonomiskus zaudējumus t.sk.  ierobežot tirdzniecību ar citām valstīm.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Lai nepieļautu augu karantīnas organismu izplatīšanos, </w:t>
      </w:r>
      <w:r w:rsidR="00DB586F">
        <w:rPr>
          <w:rFonts w:asciiTheme="minorHAnsi" w:hAnsiTheme="minorHAnsi"/>
        </w:rPr>
        <w:t>VAAD</w:t>
      </w:r>
      <w:r w:rsidRPr="00E35A8A">
        <w:rPr>
          <w:rFonts w:asciiTheme="minorHAnsi" w:hAnsiTheme="minorHAnsi"/>
        </w:rPr>
        <w:t xml:space="preserve"> veic mērķtiecīgas pārbaudes augu karantīnas organismu atklāšanai (fitosanitārās pārbaudes). Papildus </w:t>
      </w:r>
      <w:r w:rsidR="00DB586F">
        <w:rPr>
          <w:rFonts w:asciiTheme="minorHAnsi" w:hAnsiTheme="minorHAnsi"/>
        </w:rPr>
        <w:t>VAAD</w:t>
      </w:r>
      <w:r w:rsidRPr="00E35A8A">
        <w:rPr>
          <w:rFonts w:asciiTheme="minorHAnsi" w:hAnsiTheme="minorHAnsi"/>
        </w:rPr>
        <w:t xml:space="preserve"> veic atbilstības pārbaudes, vai izaudzētais materiāls ir kvalitatīvs, t.i. vai tam nav kaitīgie organismi, kas ietekmē stādu kvalitāti un vai tas ir labi attīstīts.</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Stādaudzētavās obligātā pārbaude tiek veikta veģetācijas periodā (vasarā), kad kaitēkļu un slimību pazīmes vislabāk pamanāmas. Šajā laikā tiek apskatīti gan stādi, gan mātesaugi, no kuriem tie iegūti. Ja stādaudzētavā audzē bakteriālās iedegas saimniekaugus, veģetācijas periodā tiek pārbaudīta arī stādaudzētavas tuvākā apkārtne. Veģetācijas periodā </w:t>
      </w:r>
      <w:r w:rsidR="00DB586F">
        <w:rPr>
          <w:rFonts w:asciiTheme="minorHAnsi" w:hAnsiTheme="minorHAnsi"/>
        </w:rPr>
        <w:t>VAAD</w:t>
      </w:r>
      <w:r w:rsidRPr="00E35A8A">
        <w:rPr>
          <w:rFonts w:asciiTheme="minorHAnsi" w:hAnsiTheme="minorHAnsi"/>
        </w:rPr>
        <w:t xml:space="preserve"> pārbauda gan tās audzētavas, kas materiālu ražo savām vajadzībām, gan tās, kuras audzē stādus tirgošanai. Tirdzniecībai paredzēto materiālu vēlreiz pārbauda pirms izplatīšanas – rudenī vai pavasarī.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2012.gadā veiktas 888 stādāmā un pavairojamā materiāla pārbaudes 556 dažādās saimniecībās. Liela daļa saimniecību audzē dažāda veida pavairojamo materiālu – gan augļu kokus, gan ogulājus, gan dekoratīvos augus, daudzviet audzē dekoratīvos kokaugus un krūmus un meža stādāmo materiālu.</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Visvairāk pārbaudītas dekoratīvo koku un krūmu stādu audzētavas (189 pārbaudes 87 stādaudzētavās). Šajās audzētavās ir daudzveidīgs stādu sortiments, īpaša uzmanība tiek pievērsta bakteriālo iedegu </w:t>
      </w:r>
      <w:proofErr w:type="spellStart"/>
      <w:r w:rsidRPr="00E35A8A">
        <w:rPr>
          <w:rFonts w:asciiTheme="minorHAnsi" w:hAnsiTheme="minorHAnsi"/>
        </w:rPr>
        <w:t>Erwinia</w:t>
      </w:r>
      <w:proofErr w:type="spellEnd"/>
      <w:r w:rsidRPr="00E35A8A">
        <w:rPr>
          <w:rFonts w:asciiTheme="minorHAnsi" w:hAnsiTheme="minorHAnsi"/>
        </w:rPr>
        <w:t xml:space="preserve"> </w:t>
      </w:r>
      <w:proofErr w:type="spellStart"/>
      <w:r w:rsidRPr="00E35A8A">
        <w:rPr>
          <w:rFonts w:asciiTheme="minorHAnsi" w:hAnsiTheme="minorHAnsi"/>
        </w:rPr>
        <w:t>amylovora</w:t>
      </w:r>
      <w:proofErr w:type="spellEnd"/>
      <w:r w:rsidRPr="00E35A8A">
        <w:rPr>
          <w:rFonts w:asciiTheme="minorHAnsi" w:hAnsiTheme="minorHAnsi"/>
        </w:rPr>
        <w:t xml:space="preserve"> saimniekaugiem (korintes, pīlādži u.c.), </w:t>
      </w:r>
      <w:proofErr w:type="spellStart"/>
      <w:r w:rsidRPr="00E35A8A">
        <w:rPr>
          <w:rFonts w:asciiTheme="minorHAnsi" w:hAnsiTheme="minorHAnsi"/>
        </w:rPr>
        <w:t>Phythophthora</w:t>
      </w:r>
      <w:proofErr w:type="spellEnd"/>
      <w:r w:rsidRPr="00E35A8A">
        <w:rPr>
          <w:rFonts w:asciiTheme="minorHAnsi" w:hAnsiTheme="minorHAnsi"/>
        </w:rPr>
        <w:t xml:space="preserve"> </w:t>
      </w:r>
      <w:proofErr w:type="spellStart"/>
      <w:r w:rsidRPr="00E35A8A">
        <w:rPr>
          <w:rFonts w:asciiTheme="minorHAnsi" w:hAnsiTheme="minorHAnsi"/>
        </w:rPr>
        <w:t>ramorum</w:t>
      </w:r>
      <w:proofErr w:type="spellEnd"/>
      <w:r w:rsidRPr="00E35A8A">
        <w:rPr>
          <w:rFonts w:asciiTheme="minorHAnsi" w:hAnsiTheme="minorHAnsi"/>
        </w:rPr>
        <w:t xml:space="preserve"> saimniekaugiem (rododendri un irbenes). </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Daudz pārbaudītas arī augļu koku stādu audzētavas – 71 ābeļu un bumbieru stādaudzētavās veiktas 149 pārbaudes, 59 plūmju, ķiršu un persiku audzēšanas vietās veiktas 119 pārbaudes. Pārējo augu grupu stādu audzēšanas vietas pārbaudītas mazāk, jo tām nav vajadzīgas augu pases un etiķetes, ja stādus audzē un tirgo tikai gala lietotājam personiskām vajadzībām (tirgū, gadatirgū). Pārbaudīto stādaudzētavu skaitu pa augu grupām var apskatīties N. attēlā.</w:t>
      </w:r>
    </w:p>
    <w:p w:rsidR="00E35A8A" w:rsidRPr="00E35A8A" w:rsidRDefault="00E35A8A" w:rsidP="00E35A8A">
      <w:pPr>
        <w:widowControl w:val="0"/>
        <w:spacing w:before="120"/>
        <w:jc w:val="both"/>
        <w:rPr>
          <w:rFonts w:asciiTheme="minorHAnsi" w:hAnsiTheme="minorHAnsi"/>
        </w:rPr>
      </w:pPr>
      <w:r w:rsidRPr="00E35A8A">
        <w:rPr>
          <w:rFonts w:asciiTheme="minorHAnsi" w:hAnsiTheme="minorHAnsi"/>
        </w:rPr>
        <w:t xml:space="preserve">Lai pārbaudītu, vai stādāmais materiāls ir kvalitatīvs, </w:t>
      </w:r>
      <w:r w:rsidR="00DB586F">
        <w:rPr>
          <w:rFonts w:asciiTheme="minorHAnsi" w:hAnsiTheme="minorHAnsi"/>
        </w:rPr>
        <w:t>VAAD</w:t>
      </w:r>
      <w:r w:rsidRPr="00E35A8A">
        <w:rPr>
          <w:rFonts w:asciiTheme="minorHAnsi" w:hAnsiTheme="minorHAnsi"/>
        </w:rPr>
        <w:t xml:space="preserve"> ņem paraugus testēšanai Nacionālajā fitosanitārajā laboratorijā. 2012.gadā stādaudzētavās tika noņemti 2078 paraugi. Augu karantīnas organismi netika konstatēti.</w:t>
      </w:r>
    </w:p>
    <w:p w:rsidR="00E35A8A" w:rsidRDefault="00E35A8A" w:rsidP="00E35A8A">
      <w:pPr>
        <w:jc w:val="both"/>
      </w:pPr>
    </w:p>
    <w:p w:rsidR="00376E4F" w:rsidRDefault="00376E4F" w:rsidP="00E35A8A">
      <w:pPr>
        <w:jc w:val="both"/>
      </w:pPr>
    </w:p>
    <w:p w:rsidR="00376E4F" w:rsidRDefault="00376E4F" w:rsidP="00E35A8A">
      <w:pPr>
        <w:jc w:val="both"/>
      </w:pPr>
    </w:p>
    <w:p w:rsidR="00376E4F" w:rsidRDefault="00376E4F" w:rsidP="00E35A8A">
      <w:pPr>
        <w:jc w:val="both"/>
      </w:pPr>
    </w:p>
    <w:p w:rsidR="00376E4F" w:rsidRDefault="00376E4F" w:rsidP="00E35A8A">
      <w:pPr>
        <w:jc w:val="both"/>
      </w:pPr>
    </w:p>
    <w:p w:rsidR="00376E4F" w:rsidRDefault="00376E4F" w:rsidP="00E35A8A">
      <w:pPr>
        <w:jc w:val="both"/>
      </w:pPr>
    </w:p>
    <w:p w:rsidR="00D2418D" w:rsidRDefault="00D2418D" w:rsidP="00E35A8A">
      <w:pPr>
        <w:jc w:val="both"/>
      </w:pPr>
    </w:p>
    <w:p w:rsidR="007E5A1B" w:rsidRDefault="007E5A1B" w:rsidP="00E35A8A">
      <w:pPr>
        <w:jc w:val="both"/>
      </w:pPr>
    </w:p>
    <w:p w:rsidR="007E5A1B" w:rsidRPr="00105B89" w:rsidRDefault="007E5A1B" w:rsidP="00E35A8A">
      <w:pPr>
        <w:jc w:val="both"/>
      </w:pPr>
    </w:p>
    <w:p w:rsidR="002838F2" w:rsidRDefault="00E35A8A" w:rsidP="00E35A8A">
      <w:pPr>
        <w:widowControl w:val="0"/>
        <w:spacing w:before="120"/>
        <w:jc w:val="both"/>
        <w:rPr>
          <w:rFonts w:asciiTheme="minorHAnsi" w:hAnsiTheme="minorHAnsi"/>
          <w:i/>
          <w:color w:val="943634" w:themeColor="accent2" w:themeShade="BF"/>
        </w:rPr>
      </w:pPr>
      <w:r w:rsidRPr="00E35A8A">
        <w:rPr>
          <w:rFonts w:asciiTheme="minorHAnsi" w:hAnsiTheme="minorHAnsi"/>
          <w:i/>
          <w:color w:val="943634" w:themeColor="accent2" w:themeShade="BF"/>
        </w:rPr>
        <w:lastRenderedPageBreak/>
        <w:t>Pārbaudīto audzēšanas vietu skaits</w:t>
      </w:r>
    </w:p>
    <w:p w:rsidR="00E35A8A" w:rsidRDefault="00E35A8A" w:rsidP="00E35A8A">
      <w:pPr>
        <w:widowControl w:val="0"/>
        <w:spacing w:before="120"/>
        <w:jc w:val="both"/>
        <w:rPr>
          <w:rFonts w:asciiTheme="minorHAnsi" w:hAnsiTheme="minorHAnsi"/>
          <w:i/>
          <w:color w:val="943634" w:themeColor="accent2" w:themeShade="BF"/>
        </w:rPr>
      </w:pPr>
      <w:r>
        <w:rPr>
          <w:noProof/>
        </w:rPr>
        <w:drawing>
          <wp:inline distT="0" distB="0" distL="0" distR="0" wp14:anchorId="13460ECB" wp14:editId="01B2354D">
            <wp:extent cx="5269116" cy="4445252"/>
            <wp:effectExtent l="0" t="0" r="27305" b="1270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5A8A" w:rsidRDefault="00E35A8A">
      <w:pPr>
        <w:rPr>
          <w:rFonts w:asciiTheme="minorHAnsi" w:hAnsiTheme="minorHAnsi"/>
          <w:i/>
          <w:color w:val="943634" w:themeColor="accent2" w:themeShade="BF"/>
        </w:rPr>
      </w:pPr>
    </w:p>
    <w:bookmarkEnd w:id="26"/>
    <w:bookmarkEnd w:id="27"/>
    <w:p w:rsidR="00164A4B" w:rsidRPr="00164A4B" w:rsidRDefault="00164A4B" w:rsidP="00164A4B">
      <w:pPr>
        <w:widowControl w:val="0"/>
        <w:shd w:val="clear" w:color="auto" w:fill="EAF1DD" w:themeFill="accent3" w:themeFillTint="33"/>
        <w:spacing w:before="120"/>
        <w:jc w:val="both"/>
        <w:rPr>
          <w:rFonts w:asciiTheme="minorHAnsi" w:hAnsiTheme="minorHAnsi"/>
          <w:sz w:val="28"/>
        </w:rPr>
      </w:pPr>
      <w:r w:rsidRPr="00164A4B">
        <w:rPr>
          <w:rFonts w:asciiTheme="minorHAnsi" w:hAnsiTheme="minorHAnsi"/>
          <w:sz w:val="28"/>
        </w:rPr>
        <w:t>Augu pases un etiķetes</w:t>
      </w:r>
    </w:p>
    <w:p w:rsidR="00164A4B" w:rsidRPr="00164A4B" w:rsidRDefault="00164A4B" w:rsidP="00164A4B">
      <w:pPr>
        <w:widowControl w:val="0"/>
        <w:spacing w:before="120"/>
        <w:jc w:val="both"/>
        <w:rPr>
          <w:rFonts w:asciiTheme="minorHAnsi" w:hAnsiTheme="minorHAnsi"/>
        </w:rPr>
      </w:pPr>
      <w:r w:rsidRPr="00164A4B">
        <w:rPr>
          <w:rFonts w:asciiTheme="minorHAnsi" w:hAnsiTheme="minorHAnsi"/>
        </w:rPr>
        <w:t>Augu pases un etiķetes ir dokumenti, ko pievieno pavairojamam materiālam to tirgojot kā apliecinājumu, ka stādaudzētavā veiktas visas obligātās pārbaudes, nav konstatēti augu karantīnas organismi un gan audzēšanas vieta, gan materiāls atbilst normatīvajos aktos noteiktajiem kvalitātes kritērijiem.</w:t>
      </w:r>
    </w:p>
    <w:p w:rsidR="00164A4B" w:rsidRDefault="00164A4B" w:rsidP="00164A4B">
      <w:pPr>
        <w:widowControl w:val="0"/>
        <w:spacing w:before="120"/>
        <w:jc w:val="both"/>
        <w:rPr>
          <w:rFonts w:asciiTheme="minorHAnsi" w:hAnsiTheme="minorHAnsi"/>
        </w:rPr>
      </w:pPr>
      <w:r w:rsidRPr="00164A4B">
        <w:rPr>
          <w:rFonts w:asciiTheme="minorHAnsi" w:hAnsiTheme="minorHAnsi"/>
        </w:rPr>
        <w:t xml:space="preserve">Augu pases un etiķetes var sagatavot </w:t>
      </w:r>
      <w:r>
        <w:rPr>
          <w:rFonts w:asciiTheme="minorHAnsi" w:hAnsiTheme="minorHAnsi"/>
        </w:rPr>
        <w:t>VAAD</w:t>
      </w:r>
      <w:r w:rsidRPr="00164A4B">
        <w:rPr>
          <w:rFonts w:asciiTheme="minorHAnsi" w:hAnsiTheme="minorHAnsi"/>
        </w:rPr>
        <w:t xml:space="preserve"> vai paši audzētāji, kuriem </w:t>
      </w:r>
      <w:r>
        <w:rPr>
          <w:rFonts w:asciiTheme="minorHAnsi" w:hAnsiTheme="minorHAnsi"/>
        </w:rPr>
        <w:t>VAAD</w:t>
      </w:r>
      <w:r w:rsidRPr="00164A4B">
        <w:rPr>
          <w:rFonts w:asciiTheme="minorHAnsi" w:hAnsiTheme="minorHAnsi"/>
        </w:rPr>
        <w:t xml:space="preserve"> devis šādu atļauju. 2012.gadā </w:t>
      </w:r>
      <w:r>
        <w:rPr>
          <w:rFonts w:asciiTheme="minorHAnsi" w:hAnsiTheme="minorHAnsi"/>
        </w:rPr>
        <w:t>VAAD</w:t>
      </w:r>
      <w:r w:rsidRPr="00164A4B">
        <w:rPr>
          <w:rFonts w:asciiTheme="minorHAnsi" w:hAnsiTheme="minorHAnsi"/>
        </w:rPr>
        <w:t xml:space="preserve"> izsniedzis vienu atļauju reģistrētai personai pašai sagatavot augu pases un etiķetes. No 2005.gada, kad izsniegta pirmā atļauja, līdz 2012.gada beigām kopumā izsniegtas 52 atļaujas.</w:t>
      </w:r>
    </w:p>
    <w:p w:rsidR="00164A4B" w:rsidRDefault="00164A4B" w:rsidP="00164A4B">
      <w:pPr>
        <w:ind w:firstLine="720"/>
        <w:jc w:val="both"/>
      </w:pPr>
    </w:p>
    <w:p w:rsidR="00E124B1" w:rsidRDefault="00E124B1">
      <w:pPr>
        <w:rPr>
          <w:rFonts w:asciiTheme="minorHAnsi" w:hAnsiTheme="minorHAnsi"/>
          <w:i/>
          <w:color w:val="943634" w:themeColor="accent2" w:themeShade="BF"/>
        </w:rPr>
      </w:pPr>
      <w:r>
        <w:rPr>
          <w:rFonts w:asciiTheme="minorHAnsi" w:hAnsiTheme="minorHAnsi"/>
          <w:i/>
          <w:color w:val="943634" w:themeColor="accent2" w:themeShade="BF"/>
        </w:rPr>
        <w:br w:type="page"/>
      </w:r>
    </w:p>
    <w:p w:rsidR="00164A4B" w:rsidRDefault="00164A4B" w:rsidP="00164A4B">
      <w:pPr>
        <w:widowControl w:val="0"/>
        <w:spacing w:before="120"/>
        <w:jc w:val="both"/>
      </w:pPr>
      <w:r>
        <w:rPr>
          <w:rFonts w:asciiTheme="minorHAnsi" w:hAnsiTheme="minorHAnsi"/>
          <w:i/>
          <w:color w:val="943634" w:themeColor="accent2" w:themeShade="BF"/>
        </w:rPr>
        <w:lastRenderedPageBreak/>
        <w:t>VAAD Augu karantīnas departamenta (</w:t>
      </w:r>
      <w:r w:rsidRPr="00164A4B">
        <w:rPr>
          <w:rFonts w:asciiTheme="minorHAnsi" w:hAnsiTheme="minorHAnsi"/>
          <w:i/>
          <w:color w:val="943634" w:themeColor="accent2" w:themeShade="BF"/>
        </w:rPr>
        <w:t>AKD</w:t>
      </w:r>
      <w:r>
        <w:rPr>
          <w:rFonts w:asciiTheme="minorHAnsi" w:hAnsiTheme="minorHAnsi"/>
          <w:i/>
          <w:color w:val="943634" w:themeColor="accent2" w:themeShade="BF"/>
        </w:rPr>
        <w:t>)</w:t>
      </w:r>
      <w:r w:rsidRPr="00164A4B">
        <w:rPr>
          <w:rFonts w:asciiTheme="minorHAnsi" w:hAnsiTheme="minorHAnsi"/>
          <w:i/>
          <w:color w:val="943634" w:themeColor="accent2" w:themeShade="BF"/>
        </w:rPr>
        <w:t xml:space="preserve"> sagatavotās augu pases un etiķetes 2012.gadā</w:t>
      </w:r>
    </w:p>
    <w:p w:rsidR="00164A4B" w:rsidRPr="00164A4B" w:rsidRDefault="00164A4B" w:rsidP="00164A4B">
      <w:pPr>
        <w:widowControl w:val="0"/>
        <w:spacing w:before="120"/>
        <w:jc w:val="both"/>
        <w:rPr>
          <w:rFonts w:asciiTheme="minorHAnsi" w:hAnsiTheme="minorHAnsi"/>
        </w:rPr>
      </w:pPr>
    </w:p>
    <w:p w:rsidR="00164A4B" w:rsidRDefault="00164A4B" w:rsidP="00961EEC">
      <w:pPr>
        <w:jc w:val="both"/>
        <w:rPr>
          <w:noProof/>
        </w:rPr>
      </w:pPr>
      <w:r>
        <w:rPr>
          <w:noProof/>
        </w:rPr>
        <w:drawing>
          <wp:inline distT="0" distB="0" distL="0" distR="0" wp14:anchorId="2CB37D40" wp14:editId="7CD8D584">
            <wp:extent cx="4119326" cy="2906163"/>
            <wp:effectExtent l="0" t="0" r="0" b="8890"/>
            <wp:docPr id="5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7" cstate="print"/>
                    <a:srcRect l="7164" t="15842" r="9392" b="3168"/>
                    <a:stretch>
                      <a:fillRect/>
                    </a:stretch>
                  </pic:blipFill>
                  <pic:spPr bwMode="auto">
                    <a:xfrm>
                      <a:off x="0" y="0"/>
                      <a:ext cx="4117432" cy="2904827"/>
                    </a:xfrm>
                    <a:prstGeom prst="rect">
                      <a:avLst/>
                    </a:prstGeom>
                    <a:noFill/>
                    <a:ln w="9525">
                      <a:noFill/>
                      <a:miter lim="800000"/>
                      <a:headEnd/>
                      <a:tailEnd/>
                    </a:ln>
                  </pic:spPr>
                </pic:pic>
              </a:graphicData>
            </a:graphic>
          </wp:inline>
        </w:drawing>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 xml:space="preserve">2012.gadā </w:t>
      </w:r>
      <w:r w:rsidR="00B75BD9" w:rsidRPr="00B75BD9">
        <w:rPr>
          <w:rFonts w:asciiTheme="minorHAnsi" w:hAnsiTheme="minorHAnsi"/>
        </w:rPr>
        <w:t xml:space="preserve">VAAD AKD </w:t>
      </w:r>
      <w:r w:rsidRPr="00B75BD9">
        <w:rPr>
          <w:rFonts w:asciiTheme="minorHAnsi" w:hAnsiTheme="minorHAnsi"/>
        </w:rPr>
        <w:t>sagatavoja un izsniedza 31 592 augu pases un etiķetes. Nemainīgi, salīdzinot arī ar iepriekšējiem gadiem, pirmajā vietā pēc izsniegto augu pasu un etiķešu skaita ir augļu kokiem. Salīdzinot ar 2011.gadu, šis skaits ir pieaudzis gandrīz 2 reizes. Augļu koku skaits, kādam augu pases un etiķetes ir izsniegtas, pieaudzis vairāk nekā 2 reizes.</w:t>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Otrajā vietā pēc sagatavoto augu pasu un etiķešu skaita ir dekoratīvie koki un krūmi. Salīdzinot ar 2011.gadu skaits augu pasu un etiķešu skaits šai augu grupai sarucis par aptuveni 5 reizēm, savu kārt, augu skaits, kādam augu pases un etiķetes izsniegtas, ir pieaudzis vairāk par 8 reizēm.</w:t>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 xml:space="preserve">Trešajā vietā pēc izsniegto augu pasu un etiķešu skaita ir lakstaugi. Salīdzinoši ar 2011.gadu izsniegtais </w:t>
      </w:r>
      <w:proofErr w:type="spellStart"/>
      <w:r w:rsidRPr="00B75BD9">
        <w:rPr>
          <w:rFonts w:asciiTheme="minorHAnsi" w:hAnsiTheme="minorHAnsi"/>
        </w:rPr>
        <w:t>aizvietotājpasu</w:t>
      </w:r>
      <w:proofErr w:type="spellEnd"/>
      <w:r w:rsidRPr="00B75BD9">
        <w:rPr>
          <w:rFonts w:asciiTheme="minorHAnsi" w:hAnsiTheme="minorHAnsi"/>
        </w:rPr>
        <w:t xml:space="preserve"> skaits šai produkcijai nav būtiski izmainījies.</w:t>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Ceturtajā vietā pēc izsniegto augu pasu un etiķešu skaita ir meža stādāmais materiāls. Salīdzinot ar 2011.gadā izsniegto augu pasu un etiķešu skaits šai augu grupai, ir samazinājies, taču pieaudzis ir augu skaits, kādam izsniegtas augu pasu un etiķetes.</w:t>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Piektajā vietā pēc izsniegto augu pasu un etiķešu skaita, ir ogulāji. Augu pasu skaits šai augu grupai, salīdzinot ar iepriekšējo gadu ir samazinājies vairāk nekā 2 reizes, taču augu skaits ir palielinājies par 3 reizēm.</w:t>
      </w:r>
    </w:p>
    <w:p w:rsidR="00164A4B" w:rsidRPr="00B75BD9" w:rsidRDefault="00164A4B" w:rsidP="00B75BD9">
      <w:pPr>
        <w:widowControl w:val="0"/>
        <w:spacing w:before="120"/>
        <w:jc w:val="both"/>
        <w:rPr>
          <w:rFonts w:asciiTheme="minorHAnsi" w:hAnsiTheme="minorHAnsi"/>
        </w:rPr>
      </w:pPr>
      <w:r w:rsidRPr="00B75BD9">
        <w:rPr>
          <w:rFonts w:asciiTheme="minorHAnsi" w:hAnsiTheme="minorHAnsi"/>
        </w:rPr>
        <w:t>2012.gadā augu pases tika izsniegtas arī sēklas kartupeļiem. Tāpat tika izsniegta augu pase priežu mizai, kuru uzņēmums eksportēja uz ES aizsargājamo zonu.</w:t>
      </w:r>
    </w:p>
    <w:p w:rsidR="00D2418D" w:rsidRDefault="00D2418D">
      <w:r>
        <w:br w:type="page"/>
      </w:r>
    </w:p>
    <w:p w:rsidR="00164A4B" w:rsidRPr="002B6D76" w:rsidRDefault="00164A4B" w:rsidP="002B6D76">
      <w:pPr>
        <w:shd w:val="clear" w:color="auto" w:fill="DAEEF3" w:themeFill="accent5" w:themeFillTint="33"/>
        <w:jc w:val="both"/>
        <w:rPr>
          <w:rFonts w:asciiTheme="minorHAnsi" w:hAnsiTheme="minorHAnsi"/>
        </w:rPr>
      </w:pPr>
      <w:r w:rsidRPr="002B6D76">
        <w:rPr>
          <w:rFonts w:asciiTheme="minorHAnsi" w:hAnsiTheme="minorHAnsi"/>
        </w:rPr>
        <w:lastRenderedPageBreak/>
        <w:t>AKD sagatavotās augu pases un etiķetes 2012.gadā</w:t>
      </w:r>
    </w:p>
    <w:p w:rsidR="00164A4B" w:rsidRDefault="00164A4B" w:rsidP="00164A4B">
      <w:pPr>
        <w:rPr>
          <w:b/>
        </w:rPr>
      </w:pPr>
    </w:p>
    <w:tbl>
      <w:tblPr>
        <w:tblW w:w="0" w:type="auto"/>
        <w:tblBorders>
          <w:top w:val="single" w:sz="4" w:space="0" w:color="31849B" w:themeColor="accent5" w:themeShade="BF"/>
          <w:bottom w:val="single" w:sz="4" w:space="0" w:color="31849B" w:themeColor="accent5" w:themeShade="BF"/>
          <w:insideH w:val="single" w:sz="4" w:space="0" w:color="31849B" w:themeColor="accent5" w:themeShade="BF"/>
        </w:tblBorders>
        <w:tblLook w:val="00A0" w:firstRow="1" w:lastRow="0" w:firstColumn="1" w:lastColumn="0" w:noHBand="0" w:noVBand="0"/>
      </w:tblPr>
      <w:tblGrid>
        <w:gridCol w:w="1704"/>
        <w:gridCol w:w="1704"/>
        <w:gridCol w:w="1704"/>
        <w:gridCol w:w="1705"/>
        <w:gridCol w:w="1705"/>
      </w:tblGrid>
      <w:tr w:rsidR="00164A4B" w:rsidRPr="00376E4F" w:rsidTr="002B6D76">
        <w:tc>
          <w:tcPr>
            <w:tcW w:w="1704" w:type="dxa"/>
            <w:vMerge w:val="restart"/>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Augu grupa</w:t>
            </w:r>
          </w:p>
        </w:tc>
        <w:tc>
          <w:tcPr>
            <w:tcW w:w="3408" w:type="dxa"/>
            <w:gridSpan w:val="2"/>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Izsniegto augu pasu vai etiķešu skaits</w:t>
            </w:r>
          </w:p>
        </w:tc>
        <w:tc>
          <w:tcPr>
            <w:tcW w:w="3410" w:type="dxa"/>
            <w:gridSpan w:val="2"/>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Augu skaits kādam izsniegtas augu pases (gab.)</w:t>
            </w:r>
          </w:p>
        </w:tc>
      </w:tr>
      <w:tr w:rsidR="00164A4B" w:rsidRPr="00376E4F" w:rsidTr="002B6D76">
        <w:tc>
          <w:tcPr>
            <w:tcW w:w="0" w:type="auto"/>
            <w:vMerge/>
            <w:vAlign w:val="center"/>
            <w:hideMark/>
          </w:tcPr>
          <w:p w:rsidR="00164A4B" w:rsidRPr="00376E4F" w:rsidRDefault="00164A4B" w:rsidP="002B6D76">
            <w:pPr>
              <w:widowControl w:val="0"/>
              <w:spacing w:line="285" w:lineRule="auto"/>
              <w:rPr>
                <w:rFonts w:asciiTheme="minorHAnsi" w:hAnsiTheme="minorHAnsi"/>
                <w:b/>
                <w:sz w:val="20"/>
                <w:szCs w:val="20"/>
              </w:rPr>
            </w:pPr>
          </w:p>
        </w:tc>
        <w:tc>
          <w:tcPr>
            <w:tcW w:w="1704" w:type="dxa"/>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2011.g.</w:t>
            </w:r>
          </w:p>
        </w:tc>
        <w:tc>
          <w:tcPr>
            <w:tcW w:w="1704" w:type="dxa"/>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2012.g.</w:t>
            </w:r>
          </w:p>
        </w:tc>
        <w:tc>
          <w:tcPr>
            <w:tcW w:w="1705" w:type="dxa"/>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2011.g.</w:t>
            </w:r>
          </w:p>
        </w:tc>
        <w:tc>
          <w:tcPr>
            <w:tcW w:w="1705" w:type="dxa"/>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2012.g.</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Augļu koki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28 725</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28 086</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44 287</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61 219</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Dekoratīvie koki un krūmi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13 289</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2 574</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31 866</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279 456</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Ogulāji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439</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164</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54 052</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164 078</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Meža stādāmais materiāls</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369</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230</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1 483 960</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1 721 000</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Lakstaugi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457</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525</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1 598 427</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1 373 832</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Sīpoli, bumbuļsīpoli, gumi, sakneņi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200</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10 000</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Sēklas kartupeļi</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w:t>
            </w: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12</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w:t>
            </w: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12 000</w:t>
            </w:r>
          </w:p>
        </w:tc>
      </w:tr>
      <w:tr w:rsidR="00164A4B" w:rsidRPr="00376E4F" w:rsidTr="002B6D76">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Citas grupas (miza)</w:t>
            </w:r>
          </w:p>
        </w:tc>
        <w:tc>
          <w:tcPr>
            <w:tcW w:w="1704" w:type="dxa"/>
          </w:tcPr>
          <w:p w:rsidR="00164A4B" w:rsidRPr="00376E4F" w:rsidRDefault="00164A4B" w:rsidP="002B6D76">
            <w:pPr>
              <w:widowControl w:val="0"/>
              <w:spacing w:line="285" w:lineRule="auto"/>
              <w:rPr>
                <w:rFonts w:asciiTheme="minorHAnsi" w:hAnsiTheme="minorHAnsi"/>
                <w:sz w:val="20"/>
                <w:szCs w:val="20"/>
              </w:rPr>
            </w:pPr>
          </w:p>
        </w:tc>
        <w:tc>
          <w:tcPr>
            <w:tcW w:w="1704"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1</w:t>
            </w:r>
          </w:p>
        </w:tc>
        <w:tc>
          <w:tcPr>
            <w:tcW w:w="1705" w:type="dxa"/>
          </w:tcPr>
          <w:p w:rsidR="00164A4B" w:rsidRPr="00376E4F" w:rsidRDefault="00164A4B" w:rsidP="002B6D76">
            <w:pPr>
              <w:widowControl w:val="0"/>
              <w:spacing w:line="285" w:lineRule="auto"/>
              <w:rPr>
                <w:rFonts w:asciiTheme="minorHAnsi" w:hAnsiTheme="minorHAnsi"/>
                <w:sz w:val="20"/>
                <w:szCs w:val="20"/>
              </w:rPr>
            </w:pPr>
          </w:p>
        </w:tc>
        <w:tc>
          <w:tcPr>
            <w:tcW w:w="1705" w:type="dxa"/>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84,15 m</w:t>
            </w:r>
            <w:r w:rsidRPr="00376E4F">
              <w:rPr>
                <w:rFonts w:asciiTheme="minorHAnsi" w:hAnsiTheme="minorHAnsi"/>
                <w:sz w:val="20"/>
                <w:szCs w:val="20"/>
                <w:vertAlign w:val="superscript"/>
              </w:rPr>
              <w:t>3</w:t>
            </w:r>
            <w:r w:rsidRPr="00376E4F">
              <w:rPr>
                <w:rFonts w:asciiTheme="minorHAnsi" w:hAnsiTheme="minorHAnsi"/>
                <w:sz w:val="20"/>
                <w:szCs w:val="20"/>
              </w:rPr>
              <w:t xml:space="preserve"> </w:t>
            </w:r>
          </w:p>
        </w:tc>
      </w:tr>
    </w:tbl>
    <w:p w:rsidR="00164A4B" w:rsidRDefault="00164A4B" w:rsidP="00164A4B"/>
    <w:p w:rsidR="00164A4B" w:rsidRDefault="00164A4B" w:rsidP="002B6D76">
      <w:pPr>
        <w:widowControl w:val="0"/>
        <w:shd w:val="clear" w:color="auto" w:fill="EAF1DD" w:themeFill="accent3" w:themeFillTint="33"/>
        <w:spacing w:before="120"/>
        <w:jc w:val="both"/>
        <w:rPr>
          <w:b/>
          <w:u w:val="single"/>
        </w:rPr>
      </w:pPr>
      <w:r w:rsidRPr="002B6D76">
        <w:rPr>
          <w:rFonts w:asciiTheme="minorHAnsi" w:hAnsiTheme="minorHAnsi"/>
          <w:sz w:val="28"/>
        </w:rPr>
        <w:t>Latvāņu izplatības ierobežošanas programma 2006.-2012.gadam ieviešana</w:t>
      </w:r>
    </w:p>
    <w:p w:rsidR="00164A4B" w:rsidRDefault="00164A4B" w:rsidP="00164A4B"/>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 xml:space="preserve">Saskaņā ar </w:t>
      </w:r>
      <w:r w:rsidR="00D2418D" w:rsidRPr="00D2418D">
        <w:rPr>
          <w:rFonts w:asciiTheme="minorHAnsi" w:hAnsiTheme="minorHAnsi"/>
        </w:rPr>
        <w:t>Ministru kabineta</w:t>
      </w:r>
      <w:r w:rsidR="002B6D76">
        <w:rPr>
          <w:rFonts w:asciiTheme="minorHAnsi" w:hAnsiTheme="minorHAnsi"/>
        </w:rPr>
        <w:t xml:space="preserve"> </w:t>
      </w:r>
      <w:r w:rsidRPr="002B6D76">
        <w:rPr>
          <w:rFonts w:asciiTheme="minorHAnsi" w:hAnsiTheme="minorHAnsi"/>
        </w:rPr>
        <w:t xml:space="preserve">2006.gada 6.jūnija rīkojumu Nr.426 apstiprināto „Latvāņu izplatības ierobežošanas programmu 2006.-2012.gadam” un Augu aizsardzības likumā, kā arī Ministru kabineta 2008.gada 14.jūlija noteikumos Nr.559 „Invazīvo augu sugas – </w:t>
      </w:r>
      <w:proofErr w:type="spellStart"/>
      <w:r w:rsidRPr="002B6D76">
        <w:rPr>
          <w:rFonts w:asciiTheme="minorHAnsi" w:hAnsiTheme="minorHAnsi"/>
        </w:rPr>
        <w:t>Sosnovska</w:t>
      </w:r>
      <w:proofErr w:type="spellEnd"/>
      <w:r w:rsidRPr="002B6D76">
        <w:rPr>
          <w:rFonts w:asciiTheme="minorHAnsi" w:hAnsiTheme="minorHAnsi"/>
        </w:rPr>
        <w:t xml:space="preserve"> latvāņa – izplatības ierobežošanas noteikumi” noteikto, </w:t>
      </w:r>
      <w:r w:rsidR="002B6D76">
        <w:rPr>
          <w:rFonts w:asciiTheme="minorHAnsi" w:hAnsiTheme="minorHAnsi"/>
        </w:rPr>
        <w:t>VAAD</w:t>
      </w:r>
      <w:r w:rsidRPr="002B6D76">
        <w:rPr>
          <w:rFonts w:asciiTheme="minorHAnsi" w:hAnsiTheme="minorHAnsi"/>
        </w:rPr>
        <w:t xml:space="preserve"> jāveic invazīvās sugas </w:t>
      </w:r>
      <w:proofErr w:type="spellStart"/>
      <w:r w:rsidRPr="002B6D76">
        <w:rPr>
          <w:rFonts w:asciiTheme="minorHAnsi" w:hAnsiTheme="minorHAnsi"/>
        </w:rPr>
        <w:t>Sosnovska</w:t>
      </w:r>
      <w:proofErr w:type="spellEnd"/>
      <w:r w:rsidRPr="002B6D76">
        <w:rPr>
          <w:rFonts w:asciiTheme="minorHAnsi" w:hAnsiTheme="minorHAnsi"/>
        </w:rPr>
        <w:t xml:space="preserve"> latvāņa monitorings, tā ierobežošanas uzraudzība un kontrole, lai noteiktu izplatības izmaiņas un, vai tiek veikti ierobežošanas pasākumi un vai izplatība tiek samazināta. Balstoties uz datiem, kas iegūti precīzā izplatības noteikšanā, uzmērot </w:t>
      </w:r>
      <w:r w:rsidR="004B6E67">
        <w:rPr>
          <w:rFonts w:asciiTheme="minorHAnsi" w:hAnsiTheme="minorHAnsi"/>
        </w:rPr>
        <w:t>VAAD</w:t>
      </w:r>
      <w:r w:rsidR="004B6E67" w:rsidRPr="002B6D76">
        <w:rPr>
          <w:rFonts w:asciiTheme="minorHAnsi" w:hAnsiTheme="minorHAnsi"/>
        </w:rPr>
        <w:t xml:space="preserve"> </w:t>
      </w:r>
      <w:r w:rsidRPr="002B6D76">
        <w:rPr>
          <w:rFonts w:asciiTheme="minorHAnsi" w:hAnsiTheme="minorHAnsi"/>
        </w:rPr>
        <w:t xml:space="preserve">zināmās </w:t>
      </w:r>
      <w:proofErr w:type="spellStart"/>
      <w:r w:rsidRPr="002B6D76">
        <w:rPr>
          <w:rFonts w:asciiTheme="minorHAnsi" w:hAnsiTheme="minorHAnsi"/>
        </w:rPr>
        <w:t>invadētās</w:t>
      </w:r>
      <w:proofErr w:type="spellEnd"/>
      <w:r w:rsidRPr="002B6D76">
        <w:rPr>
          <w:rFonts w:asciiTheme="minorHAnsi" w:hAnsiTheme="minorHAnsi"/>
        </w:rPr>
        <w:t xml:space="preserve"> teritorijas, </w:t>
      </w:r>
      <w:r w:rsidR="00DB586F">
        <w:rPr>
          <w:rFonts w:asciiTheme="minorHAnsi" w:hAnsiTheme="minorHAnsi"/>
        </w:rPr>
        <w:t>VAAD</w:t>
      </w:r>
      <w:r w:rsidRPr="002B6D76">
        <w:rPr>
          <w:rFonts w:asciiTheme="minorHAnsi" w:hAnsiTheme="minorHAnsi"/>
        </w:rPr>
        <w:t xml:space="preserve"> veicis precīzu izplatības noteikšanu.</w:t>
      </w: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 xml:space="preserve">2012.gadā uz iesniegumu pamata apsekoti 668 kadastri ar 249,5 ha lielu </w:t>
      </w:r>
      <w:r w:rsidR="002B6D76">
        <w:rPr>
          <w:rFonts w:asciiTheme="minorHAnsi" w:hAnsiTheme="minorHAnsi"/>
        </w:rPr>
        <w:t xml:space="preserve">platību, uzmērīti 200 lauki un </w:t>
      </w:r>
      <w:r w:rsidRPr="002B6D76">
        <w:rPr>
          <w:rFonts w:asciiTheme="minorHAnsi" w:hAnsiTheme="minorHAnsi"/>
        </w:rPr>
        <w:t xml:space="preserve">uzmērītās teritorijas ir 49,15 ha apmērā. </w:t>
      </w: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 xml:space="preserve">Kopējā aktuālā </w:t>
      </w:r>
      <w:proofErr w:type="spellStart"/>
      <w:r w:rsidRPr="002B6D76">
        <w:rPr>
          <w:rFonts w:asciiTheme="minorHAnsi" w:hAnsiTheme="minorHAnsi"/>
        </w:rPr>
        <w:t>invadētā</w:t>
      </w:r>
      <w:proofErr w:type="spellEnd"/>
      <w:r w:rsidRPr="002B6D76">
        <w:rPr>
          <w:rFonts w:asciiTheme="minorHAnsi" w:hAnsiTheme="minorHAnsi"/>
        </w:rPr>
        <w:t xml:space="preserve"> uzmērītā teritorija ir 14766 lauki ar 10445,25 ha lielu kopējo </w:t>
      </w:r>
      <w:proofErr w:type="spellStart"/>
      <w:r w:rsidRPr="002B6D76">
        <w:rPr>
          <w:rFonts w:asciiTheme="minorHAnsi" w:hAnsiTheme="minorHAnsi"/>
        </w:rPr>
        <w:t>invadēto</w:t>
      </w:r>
      <w:proofErr w:type="spellEnd"/>
      <w:r w:rsidRPr="002B6D76">
        <w:rPr>
          <w:rFonts w:asciiTheme="minorHAnsi" w:hAnsiTheme="minorHAnsi"/>
        </w:rPr>
        <w:t xml:space="preserve"> platību un pa reģioniem:</w:t>
      </w:r>
    </w:p>
    <w:tbl>
      <w:tblPr>
        <w:tblW w:w="4640" w:type="dxa"/>
        <w:tblInd w:w="93" w:type="dxa"/>
        <w:tblLook w:val="04A0" w:firstRow="1" w:lastRow="0" w:firstColumn="1" w:lastColumn="0" w:noHBand="0" w:noVBand="1"/>
      </w:tblPr>
      <w:tblGrid>
        <w:gridCol w:w="2320"/>
        <w:gridCol w:w="2320"/>
      </w:tblGrid>
      <w:tr w:rsidR="00164A4B" w:rsidRPr="00376E4F" w:rsidTr="002B6D76">
        <w:trPr>
          <w:trHeight w:val="300"/>
        </w:trPr>
        <w:tc>
          <w:tcPr>
            <w:tcW w:w="2320" w:type="dxa"/>
            <w:tcBorders>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b/>
                <w:sz w:val="20"/>
                <w:szCs w:val="20"/>
              </w:rPr>
            </w:pPr>
            <w:r w:rsidRPr="00376E4F">
              <w:rPr>
                <w:rFonts w:asciiTheme="minorHAnsi" w:hAnsiTheme="minorHAnsi"/>
                <w:b/>
                <w:sz w:val="20"/>
                <w:szCs w:val="20"/>
              </w:rPr>
              <w:t>REGIONS</w:t>
            </w:r>
          </w:p>
        </w:tc>
        <w:tc>
          <w:tcPr>
            <w:tcW w:w="2320" w:type="dxa"/>
            <w:tcBorders>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b/>
                <w:sz w:val="20"/>
                <w:szCs w:val="20"/>
              </w:rPr>
            </w:pPr>
          </w:p>
        </w:tc>
      </w:tr>
      <w:tr w:rsidR="00164A4B" w:rsidRPr="00376E4F" w:rsidTr="002B6D76">
        <w:trPr>
          <w:trHeight w:val="300"/>
        </w:trPr>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Kurzemes reģions</w:t>
            </w:r>
          </w:p>
        </w:tc>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907,75</w:t>
            </w:r>
          </w:p>
        </w:tc>
      </w:tr>
      <w:tr w:rsidR="00164A4B" w:rsidRPr="00376E4F" w:rsidTr="002B6D76">
        <w:trPr>
          <w:trHeight w:val="300"/>
        </w:trPr>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Latgales reģions</w:t>
            </w:r>
          </w:p>
        </w:tc>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2331,44</w:t>
            </w:r>
          </w:p>
        </w:tc>
      </w:tr>
      <w:tr w:rsidR="00164A4B" w:rsidRPr="00376E4F" w:rsidTr="002B6D76">
        <w:trPr>
          <w:trHeight w:val="300"/>
        </w:trPr>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Rīgas reģions</w:t>
            </w:r>
          </w:p>
        </w:tc>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1726,84</w:t>
            </w:r>
          </w:p>
        </w:tc>
      </w:tr>
      <w:tr w:rsidR="00164A4B" w:rsidRPr="00376E4F" w:rsidTr="002B6D76">
        <w:trPr>
          <w:trHeight w:val="300"/>
        </w:trPr>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Vidzemes reģions</w:t>
            </w:r>
          </w:p>
        </w:tc>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4208,14</w:t>
            </w:r>
          </w:p>
        </w:tc>
      </w:tr>
      <w:tr w:rsidR="00164A4B" w:rsidRPr="00376E4F" w:rsidTr="002B6D76">
        <w:trPr>
          <w:trHeight w:val="300"/>
        </w:trPr>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rPr>
                <w:rFonts w:asciiTheme="minorHAnsi" w:hAnsiTheme="minorHAnsi"/>
                <w:sz w:val="20"/>
                <w:szCs w:val="20"/>
              </w:rPr>
            </w:pPr>
            <w:r w:rsidRPr="00376E4F">
              <w:rPr>
                <w:rFonts w:asciiTheme="minorHAnsi" w:hAnsiTheme="minorHAnsi"/>
                <w:sz w:val="20"/>
                <w:szCs w:val="20"/>
              </w:rPr>
              <w:t>Zemgales reģions</w:t>
            </w:r>
          </w:p>
        </w:tc>
        <w:tc>
          <w:tcPr>
            <w:tcW w:w="2320" w:type="dxa"/>
            <w:tcBorders>
              <w:top w:val="single" w:sz="8" w:space="0" w:color="31849B" w:themeColor="accent5" w:themeShade="BF"/>
              <w:bottom w:val="single" w:sz="8" w:space="0" w:color="31849B" w:themeColor="accent5" w:themeShade="BF"/>
            </w:tcBorders>
            <w:noWrap/>
            <w:vAlign w:val="bottom"/>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1271,08</w:t>
            </w:r>
          </w:p>
        </w:tc>
      </w:tr>
    </w:tbl>
    <w:p w:rsidR="00164A4B" w:rsidRDefault="00164A4B" w:rsidP="00164A4B">
      <w:pPr>
        <w:jc w:val="both"/>
        <w:rPr>
          <w:color w:val="000000"/>
        </w:rPr>
      </w:pPr>
    </w:p>
    <w:p w:rsidR="00164A4B" w:rsidRPr="002B6D76" w:rsidRDefault="002B6D76" w:rsidP="002B6D76">
      <w:pPr>
        <w:widowControl w:val="0"/>
        <w:spacing w:before="120"/>
        <w:jc w:val="both"/>
        <w:rPr>
          <w:rFonts w:asciiTheme="minorHAnsi" w:hAnsiTheme="minorHAnsi"/>
        </w:rPr>
      </w:pPr>
      <w:r>
        <w:rPr>
          <w:rFonts w:asciiTheme="minorHAnsi" w:hAnsiTheme="minorHAnsi"/>
        </w:rPr>
        <w:t>VAAD</w:t>
      </w:r>
      <w:r w:rsidR="00164A4B" w:rsidRPr="002B6D76">
        <w:rPr>
          <w:rFonts w:asciiTheme="minorHAnsi" w:hAnsiTheme="minorHAnsi"/>
        </w:rPr>
        <w:t xml:space="preserve"> aptaujājis pašvaldības un saņēmis informāciju, ko pašvaldības dara latvāņu ierobežošanai, vai izmanto </w:t>
      </w:r>
      <w:r w:rsidR="004B6E67">
        <w:rPr>
          <w:rFonts w:asciiTheme="minorHAnsi" w:hAnsiTheme="minorHAnsi"/>
        </w:rPr>
        <w:t>VAAD</w:t>
      </w:r>
      <w:r w:rsidR="004B6E67" w:rsidRPr="002B6D76">
        <w:rPr>
          <w:rFonts w:asciiTheme="minorHAnsi" w:hAnsiTheme="minorHAnsi"/>
        </w:rPr>
        <w:t xml:space="preserve"> </w:t>
      </w:r>
      <w:r w:rsidR="00164A4B" w:rsidRPr="002B6D76">
        <w:rPr>
          <w:rFonts w:asciiTheme="minorHAnsi" w:hAnsiTheme="minorHAnsi"/>
        </w:rPr>
        <w:t xml:space="preserve">sniegtos datus, vai plāno pasākumus vai veic uzraudzību saistībā ar uzmērīto informāciju un vai organizē un koordinē ierobežošanas pasākumus. </w:t>
      </w:r>
    </w:p>
    <w:p w:rsidR="00164A4B" w:rsidRDefault="00164A4B" w:rsidP="002B6D76">
      <w:pPr>
        <w:widowControl w:val="0"/>
        <w:spacing w:before="120"/>
        <w:jc w:val="both"/>
        <w:rPr>
          <w:rFonts w:asciiTheme="minorHAnsi" w:hAnsiTheme="minorHAnsi"/>
        </w:rPr>
      </w:pPr>
      <w:r w:rsidRPr="002B6D76">
        <w:rPr>
          <w:rFonts w:asciiTheme="minorHAnsi" w:hAnsiTheme="minorHAnsi"/>
        </w:rPr>
        <w:t xml:space="preserve">Izmantojot </w:t>
      </w:r>
      <w:r w:rsidR="004B6E67">
        <w:rPr>
          <w:rFonts w:asciiTheme="minorHAnsi" w:hAnsiTheme="minorHAnsi"/>
        </w:rPr>
        <w:t>VAAD</w:t>
      </w:r>
      <w:r w:rsidR="004B6E67" w:rsidRPr="002B6D76">
        <w:rPr>
          <w:rFonts w:asciiTheme="minorHAnsi" w:hAnsiTheme="minorHAnsi"/>
        </w:rPr>
        <w:t xml:space="preserve"> </w:t>
      </w:r>
      <w:r w:rsidRPr="002B6D76">
        <w:rPr>
          <w:rFonts w:asciiTheme="minorHAnsi" w:hAnsiTheme="minorHAnsi"/>
        </w:rPr>
        <w:t xml:space="preserve">sniegtos datus, vairākas pašvaldības uzrauga ierobežošanas veikšanu. </w:t>
      </w:r>
    </w:p>
    <w:p w:rsidR="002B6D76" w:rsidRPr="002B6D76" w:rsidRDefault="002B6D76" w:rsidP="002B6D76">
      <w:pPr>
        <w:widowControl w:val="0"/>
        <w:spacing w:before="120"/>
        <w:jc w:val="both"/>
        <w:rPr>
          <w:rFonts w:asciiTheme="minorHAnsi" w:hAnsiTheme="minorHAnsi"/>
        </w:rPr>
      </w:pPr>
    </w:p>
    <w:p w:rsidR="00164A4B" w:rsidRDefault="00164A4B" w:rsidP="002B6D76">
      <w:pPr>
        <w:widowControl w:val="0"/>
        <w:shd w:val="clear" w:color="auto" w:fill="EAF1DD" w:themeFill="accent3" w:themeFillTint="33"/>
        <w:spacing w:before="120"/>
        <w:jc w:val="both"/>
        <w:rPr>
          <w:b/>
        </w:rPr>
      </w:pPr>
      <w:r w:rsidRPr="002B6D76">
        <w:rPr>
          <w:rFonts w:asciiTheme="minorHAnsi" w:hAnsiTheme="minorHAnsi"/>
          <w:sz w:val="28"/>
        </w:rPr>
        <w:lastRenderedPageBreak/>
        <w:t>Importa kravu kontrole</w:t>
      </w:r>
    </w:p>
    <w:p w:rsidR="00164A4B" w:rsidRDefault="00164A4B" w:rsidP="00164A4B">
      <w:pPr>
        <w:jc w:val="both"/>
      </w:pP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 xml:space="preserve">No trešajām valstīm ievestās produkcijas pārbaudi robežkontroles punktos veic Pārtikas un veterinārā dienesta (turpmāk - PVD) Robežkontroles departamenta Robežkontroles punkti. Ja ievešanas punktā nav iespējams veikt augu un augu produktu pārbaudi un kravām ir zems fitosanitārais risks, importēto kravu kontroli veic </w:t>
      </w:r>
      <w:r w:rsidR="00DB586F">
        <w:rPr>
          <w:rFonts w:asciiTheme="minorHAnsi" w:hAnsiTheme="minorHAnsi"/>
        </w:rPr>
        <w:t>VAAD</w:t>
      </w:r>
      <w:r w:rsidRPr="002B6D76">
        <w:rPr>
          <w:rFonts w:asciiTheme="minorHAnsi" w:hAnsiTheme="minorHAnsi"/>
        </w:rPr>
        <w:t xml:space="preserve"> kravu saņemšanas vai glabāšanas vietās.</w:t>
      </w: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2012.gadā kravu saņemšanas vietās tika veikta 331 pārbaude, no tām 321 bija koksnes iepakojamā materiāla pārbaudes, 5 no tām bija augļu pārbaudes (citrusi), 4 dārzeņu pārbaudes (baziliks) un 1 dekoratīvo augu stādāmā materiāla pārbaude (dažādi dekoratīvie augi). Salīdzinot ar iepriekšējo 2011.gadu, pārbaužu skaits ir samazinājies, taču ne būtiski.</w:t>
      </w: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ab/>
        <w:t>Veicot koksnes iepakojamā materiāla pārbaudes kravu saņemšanas vietās:</w:t>
      </w:r>
    </w:p>
    <w:p w:rsidR="00164A4B" w:rsidRPr="002B6D76" w:rsidRDefault="00164A4B" w:rsidP="001234C1">
      <w:pPr>
        <w:pStyle w:val="ListParagraph"/>
        <w:widowControl w:val="0"/>
        <w:numPr>
          <w:ilvl w:val="0"/>
          <w:numId w:val="14"/>
        </w:numPr>
        <w:spacing w:before="120"/>
        <w:jc w:val="both"/>
        <w:rPr>
          <w:rFonts w:asciiTheme="minorHAnsi" w:hAnsiTheme="minorHAnsi"/>
        </w:rPr>
      </w:pPr>
      <w:r w:rsidRPr="002B6D76">
        <w:rPr>
          <w:rFonts w:asciiTheme="minorHAnsi" w:hAnsiTheme="minorHAnsi"/>
        </w:rPr>
        <w:t xml:space="preserve">317 gadījumos – veiktas pārbaudes pēc PVD Robežkontroles departamenta Robežkontroles punkta saņemtā paziņojuma par fitosanitāro noteikumu pārkāpumiem. No tām 279 gadījumos tika veiktas uzraudzības pārbaudes, lai veiktu neatbilstoša koksnes iepakojamā materiāla iznīcināšanu </w:t>
      </w:r>
      <w:r w:rsidR="004B6E67">
        <w:rPr>
          <w:rFonts w:asciiTheme="minorHAnsi" w:hAnsiTheme="minorHAnsi"/>
        </w:rPr>
        <w:t>VAAD</w:t>
      </w:r>
      <w:r w:rsidR="004B6E67" w:rsidRPr="002B6D76">
        <w:rPr>
          <w:rFonts w:asciiTheme="minorHAnsi" w:hAnsiTheme="minorHAnsi"/>
        </w:rPr>
        <w:t xml:space="preserve"> </w:t>
      </w:r>
      <w:r w:rsidRPr="002B6D76">
        <w:rPr>
          <w:rFonts w:asciiTheme="minorHAnsi" w:hAnsiTheme="minorHAnsi"/>
        </w:rPr>
        <w:t>uzraudzībā, 6 gadījumos – lai noteiktu koksnes iepakojamā materiāla atbilstību fitosanitārajām prasībām, jo ievešanas punktā krava nebija redzama un 32 gadījumos tika veikta atkārtotā pārbaude, kad tika uzraudzīti uzliktie fitosanitārie pasākumi fitosanitārajām prasībām neatbilstošajam koksnes iepakojamajam materiālam – koksnes iepakojamā materiāla iznīcināšana, kad produkciju nav bijis iespējams uzreiz atbrīvot no neatbilstošā koksnes iepakojamā materiāla u.c.</w:t>
      </w:r>
    </w:p>
    <w:p w:rsidR="00164A4B" w:rsidRPr="002B6D76" w:rsidRDefault="00164A4B" w:rsidP="001234C1">
      <w:pPr>
        <w:pStyle w:val="ListParagraph"/>
        <w:widowControl w:val="0"/>
        <w:numPr>
          <w:ilvl w:val="0"/>
          <w:numId w:val="14"/>
        </w:numPr>
        <w:spacing w:before="120"/>
        <w:jc w:val="both"/>
        <w:rPr>
          <w:rFonts w:asciiTheme="minorHAnsi" w:hAnsiTheme="minorHAnsi"/>
        </w:rPr>
      </w:pPr>
      <w:r w:rsidRPr="002B6D76">
        <w:rPr>
          <w:rFonts w:asciiTheme="minorHAnsi" w:hAnsiTheme="minorHAnsi"/>
        </w:rPr>
        <w:t>4 gadījumos – veiktas pārbaudes pēc VID reģionālās iestādes muitas pārvaldes paziņojuma. Šajos gadījumos tika veikta uzraudzība, lai noteiktu koksnes iepakojamā materiāla atbilstību fitosanitārajām prasībām.</w:t>
      </w:r>
    </w:p>
    <w:p w:rsidR="00164A4B" w:rsidRPr="002B6D76" w:rsidRDefault="00164A4B" w:rsidP="002B6D76">
      <w:pPr>
        <w:widowControl w:val="0"/>
        <w:spacing w:before="120"/>
        <w:jc w:val="both"/>
        <w:rPr>
          <w:rFonts w:asciiTheme="minorHAnsi" w:hAnsiTheme="minorHAnsi"/>
        </w:rPr>
      </w:pPr>
      <w:r w:rsidRPr="002B6D76">
        <w:rPr>
          <w:rFonts w:asciiTheme="minorHAnsi" w:hAnsiTheme="minorHAnsi"/>
        </w:rPr>
        <w:t xml:space="preserve">Šajās pārbaudēs tika noņemti 18 paraugi laboratoriskai testēšanai priežu koksnes nematodes </w:t>
      </w:r>
      <w:proofErr w:type="spellStart"/>
      <w:r w:rsidRPr="002B6D76">
        <w:rPr>
          <w:rFonts w:asciiTheme="minorHAnsi" w:hAnsiTheme="minorHAnsi"/>
        </w:rPr>
        <w:t>Burasaphelechus</w:t>
      </w:r>
      <w:proofErr w:type="spellEnd"/>
      <w:r w:rsidRPr="002B6D76">
        <w:rPr>
          <w:rFonts w:asciiTheme="minorHAnsi" w:hAnsiTheme="minorHAnsi"/>
        </w:rPr>
        <w:t xml:space="preserve"> </w:t>
      </w:r>
      <w:proofErr w:type="spellStart"/>
      <w:r w:rsidRPr="002B6D76">
        <w:rPr>
          <w:rFonts w:asciiTheme="minorHAnsi" w:hAnsiTheme="minorHAnsi"/>
        </w:rPr>
        <w:t>xylophilus</w:t>
      </w:r>
      <w:proofErr w:type="spellEnd"/>
      <w:r w:rsidRPr="002B6D76">
        <w:rPr>
          <w:rFonts w:asciiTheme="minorHAnsi" w:hAnsiTheme="minorHAnsi"/>
        </w:rPr>
        <w:t xml:space="preserve"> noteikšanai. Laboratoriskā testēšanā šī nematode netika konstatēta, bet 3 gadījumos tika konstatēts </w:t>
      </w:r>
      <w:proofErr w:type="spellStart"/>
      <w:r w:rsidRPr="002B6D76">
        <w:rPr>
          <w:rFonts w:asciiTheme="minorHAnsi" w:hAnsiTheme="minorHAnsi"/>
        </w:rPr>
        <w:t>nekarantīnas</w:t>
      </w:r>
      <w:proofErr w:type="spellEnd"/>
      <w:r w:rsidRPr="002B6D76">
        <w:rPr>
          <w:rFonts w:asciiTheme="minorHAnsi" w:hAnsiTheme="minorHAnsi"/>
        </w:rPr>
        <w:t xml:space="preserve"> organisms - nematode </w:t>
      </w:r>
      <w:proofErr w:type="spellStart"/>
      <w:r w:rsidRPr="002B6D76">
        <w:rPr>
          <w:rFonts w:asciiTheme="minorHAnsi" w:hAnsiTheme="minorHAnsi"/>
        </w:rPr>
        <w:t>Burasaphelechus</w:t>
      </w:r>
      <w:proofErr w:type="spellEnd"/>
      <w:r w:rsidRPr="002B6D76">
        <w:rPr>
          <w:rFonts w:asciiTheme="minorHAnsi" w:hAnsiTheme="minorHAnsi"/>
        </w:rPr>
        <w:t xml:space="preserve"> </w:t>
      </w:r>
      <w:proofErr w:type="spellStart"/>
      <w:r w:rsidRPr="002B6D76">
        <w:rPr>
          <w:rFonts w:asciiTheme="minorHAnsi" w:hAnsiTheme="minorHAnsi"/>
        </w:rPr>
        <w:t>mucronatus</w:t>
      </w:r>
      <w:proofErr w:type="spellEnd"/>
      <w:r w:rsidRPr="002B6D76">
        <w:rPr>
          <w:rFonts w:asciiTheme="minorHAnsi" w:hAnsiTheme="minorHAnsi"/>
        </w:rPr>
        <w:t>.</w:t>
      </w:r>
    </w:p>
    <w:p w:rsidR="00164A4B" w:rsidRDefault="00164A4B" w:rsidP="002B6D76">
      <w:pPr>
        <w:widowControl w:val="0"/>
        <w:spacing w:before="120"/>
        <w:jc w:val="both"/>
        <w:rPr>
          <w:rFonts w:asciiTheme="minorHAnsi" w:hAnsiTheme="minorHAnsi"/>
        </w:rPr>
      </w:pPr>
      <w:r w:rsidRPr="002B6D76">
        <w:rPr>
          <w:rFonts w:asciiTheme="minorHAnsi" w:hAnsiTheme="minorHAnsi"/>
        </w:rPr>
        <w:t xml:space="preserve">PVD Robežkontroles departamenta </w:t>
      </w:r>
      <w:r w:rsidR="00E124B1">
        <w:rPr>
          <w:rFonts w:asciiTheme="minorHAnsi" w:hAnsiTheme="minorHAnsi"/>
        </w:rPr>
        <w:t>r</w:t>
      </w:r>
      <w:r w:rsidRPr="002B6D76">
        <w:rPr>
          <w:rFonts w:asciiTheme="minorHAnsi" w:hAnsiTheme="minorHAnsi"/>
        </w:rPr>
        <w:t>obežkontroles punktiem veicot kravu kontroli no trešajām valstīm importētajām augu un augu produktu kravām, 2012.gadā tika konstatēti 532 pārkāpumi.</w:t>
      </w:r>
    </w:p>
    <w:p w:rsidR="00382CD7" w:rsidRPr="00376E4F" w:rsidRDefault="00382CD7" w:rsidP="002B6D76">
      <w:pPr>
        <w:widowControl w:val="0"/>
        <w:spacing w:before="120"/>
        <w:jc w:val="both"/>
        <w:rPr>
          <w:rFonts w:asciiTheme="minorHAnsi" w:hAnsiTheme="minorHAnsi"/>
          <w:sz w:val="4"/>
          <w:szCs w:val="4"/>
        </w:rPr>
      </w:pPr>
    </w:p>
    <w:tbl>
      <w:tblPr>
        <w:tblW w:w="9334"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1904"/>
        <w:gridCol w:w="1500"/>
        <w:gridCol w:w="1475"/>
        <w:gridCol w:w="946"/>
        <w:gridCol w:w="997"/>
        <w:gridCol w:w="833"/>
        <w:gridCol w:w="934"/>
        <w:gridCol w:w="745"/>
      </w:tblGrid>
      <w:tr w:rsidR="00164A4B" w:rsidRPr="00376E4F" w:rsidTr="002B6D76">
        <w:tc>
          <w:tcPr>
            <w:tcW w:w="1904" w:type="dxa"/>
            <w:vMerge w:val="restart"/>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Eksportētājvalsts</w:t>
            </w:r>
          </w:p>
        </w:tc>
        <w:tc>
          <w:tcPr>
            <w:tcW w:w="7430" w:type="dxa"/>
            <w:gridSpan w:val="7"/>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Konstatēto pārkāpumu skaits augu un augu valsts produktu kravās</w:t>
            </w:r>
          </w:p>
        </w:tc>
      </w:tr>
      <w:tr w:rsidR="00164A4B" w:rsidRPr="00376E4F" w:rsidTr="002B6D76">
        <w:tc>
          <w:tcPr>
            <w:tcW w:w="0" w:type="auto"/>
            <w:vMerge/>
            <w:vAlign w:val="center"/>
            <w:hideMark/>
          </w:tcPr>
          <w:p w:rsidR="00164A4B" w:rsidRPr="00376E4F" w:rsidRDefault="00164A4B" w:rsidP="002B6D76">
            <w:pPr>
              <w:widowControl w:val="0"/>
              <w:spacing w:line="285" w:lineRule="auto"/>
              <w:jc w:val="right"/>
              <w:rPr>
                <w:rFonts w:asciiTheme="minorHAnsi" w:hAnsiTheme="minorHAnsi"/>
                <w:b/>
                <w:sz w:val="20"/>
                <w:szCs w:val="20"/>
              </w:rPr>
            </w:pPr>
          </w:p>
        </w:tc>
        <w:tc>
          <w:tcPr>
            <w:tcW w:w="1500"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Koksnes iepakojamais materiāls</w:t>
            </w:r>
          </w:p>
        </w:tc>
        <w:tc>
          <w:tcPr>
            <w:tcW w:w="1475"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Zāģmateriāli</w:t>
            </w:r>
          </w:p>
        </w:tc>
        <w:tc>
          <w:tcPr>
            <w:tcW w:w="946"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Augļi, dārzeņi</w:t>
            </w:r>
          </w:p>
        </w:tc>
        <w:tc>
          <w:tcPr>
            <w:tcW w:w="997"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Grieztie ziedi</w:t>
            </w:r>
          </w:p>
        </w:tc>
        <w:tc>
          <w:tcPr>
            <w:tcW w:w="833"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Sēklas</w:t>
            </w:r>
          </w:p>
        </w:tc>
        <w:tc>
          <w:tcPr>
            <w:tcW w:w="934"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Augsne</w:t>
            </w:r>
          </w:p>
        </w:tc>
        <w:tc>
          <w:tcPr>
            <w:tcW w:w="745" w:type="dxa"/>
            <w:hideMark/>
          </w:tcPr>
          <w:p w:rsidR="00164A4B" w:rsidRPr="00376E4F" w:rsidRDefault="00164A4B" w:rsidP="002B6D76">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Kopā</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Amerikas Savienotās Valstis</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Austrālija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Baltkrievija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66</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67</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Brazīlija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Ēģipte</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Gruzija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Horvātija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Indija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lastRenderedPageBreak/>
              <w:t>Izraēla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997"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5</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Kanāda</w:t>
            </w:r>
          </w:p>
        </w:tc>
        <w:tc>
          <w:tcPr>
            <w:tcW w:w="1500" w:type="dxa"/>
          </w:tcPr>
          <w:p w:rsidR="00164A4B" w:rsidRPr="00376E4F" w:rsidRDefault="00164A4B" w:rsidP="002B6D76">
            <w:pPr>
              <w:widowControl w:val="0"/>
              <w:spacing w:line="285" w:lineRule="auto"/>
              <w:jc w:val="center"/>
              <w:rPr>
                <w:rFonts w:asciiTheme="minorHAnsi" w:hAnsiTheme="minorHAnsi"/>
                <w:sz w:val="20"/>
                <w:szCs w:val="20"/>
              </w:rPr>
            </w:pP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Krievijas Federācija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382</w:t>
            </w:r>
          </w:p>
        </w:tc>
        <w:tc>
          <w:tcPr>
            <w:tcW w:w="147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383</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Ķīna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10</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10</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Malaizija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4</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4</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Norvēģija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15</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15</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Serbija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Turcija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13</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13</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Ukraina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Uzbekistāna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Ziemeļkoreja</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475" w:type="dxa"/>
          </w:tcPr>
          <w:p w:rsidR="00164A4B" w:rsidRPr="00376E4F" w:rsidRDefault="00164A4B" w:rsidP="002B6D76">
            <w:pPr>
              <w:widowControl w:val="0"/>
              <w:spacing w:line="285" w:lineRule="auto"/>
              <w:jc w:val="center"/>
              <w:rPr>
                <w:rFonts w:asciiTheme="minorHAnsi" w:hAnsiTheme="minorHAnsi"/>
                <w:sz w:val="20"/>
                <w:szCs w:val="20"/>
              </w:rPr>
            </w:pPr>
          </w:p>
        </w:tc>
        <w:tc>
          <w:tcPr>
            <w:tcW w:w="946" w:type="dxa"/>
          </w:tcPr>
          <w:p w:rsidR="00164A4B" w:rsidRPr="00376E4F" w:rsidRDefault="00164A4B" w:rsidP="002B6D76">
            <w:pPr>
              <w:widowControl w:val="0"/>
              <w:spacing w:line="285" w:lineRule="auto"/>
              <w:jc w:val="center"/>
              <w:rPr>
                <w:rFonts w:asciiTheme="minorHAnsi" w:hAnsiTheme="minorHAnsi"/>
                <w:sz w:val="20"/>
                <w:szCs w:val="20"/>
              </w:rPr>
            </w:pPr>
          </w:p>
        </w:tc>
        <w:tc>
          <w:tcPr>
            <w:tcW w:w="997" w:type="dxa"/>
          </w:tcPr>
          <w:p w:rsidR="00164A4B" w:rsidRPr="00376E4F" w:rsidRDefault="00164A4B" w:rsidP="002B6D76">
            <w:pPr>
              <w:widowControl w:val="0"/>
              <w:spacing w:line="285" w:lineRule="auto"/>
              <w:jc w:val="center"/>
              <w:rPr>
                <w:rFonts w:asciiTheme="minorHAnsi" w:hAnsiTheme="minorHAnsi"/>
                <w:sz w:val="20"/>
                <w:szCs w:val="20"/>
              </w:rPr>
            </w:pPr>
          </w:p>
        </w:tc>
        <w:tc>
          <w:tcPr>
            <w:tcW w:w="833" w:type="dxa"/>
          </w:tcPr>
          <w:p w:rsidR="00164A4B" w:rsidRPr="00376E4F" w:rsidRDefault="00164A4B" w:rsidP="002B6D76">
            <w:pPr>
              <w:widowControl w:val="0"/>
              <w:spacing w:line="285" w:lineRule="auto"/>
              <w:jc w:val="center"/>
              <w:rPr>
                <w:rFonts w:asciiTheme="minorHAnsi" w:hAnsiTheme="minorHAnsi"/>
                <w:sz w:val="20"/>
                <w:szCs w:val="20"/>
              </w:rPr>
            </w:pPr>
          </w:p>
        </w:tc>
        <w:tc>
          <w:tcPr>
            <w:tcW w:w="934" w:type="dxa"/>
          </w:tcPr>
          <w:p w:rsidR="00164A4B" w:rsidRPr="00376E4F" w:rsidRDefault="00164A4B" w:rsidP="002B6D76">
            <w:pPr>
              <w:widowControl w:val="0"/>
              <w:spacing w:line="285" w:lineRule="auto"/>
              <w:jc w:val="center"/>
              <w:rPr>
                <w:rFonts w:asciiTheme="minorHAnsi" w:hAnsiTheme="minorHAnsi"/>
                <w:sz w:val="20"/>
                <w:szCs w:val="20"/>
              </w:rPr>
            </w:pP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r>
      <w:tr w:rsidR="00164A4B" w:rsidRPr="00376E4F" w:rsidTr="002B6D76">
        <w:tc>
          <w:tcPr>
            <w:tcW w:w="1904" w:type="dxa"/>
            <w:hideMark/>
          </w:tcPr>
          <w:p w:rsidR="00164A4B" w:rsidRPr="00376E4F" w:rsidRDefault="00164A4B" w:rsidP="002B6D76">
            <w:pPr>
              <w:widowControl w:val="0"/>
              <w:spacing w:line="285" w:lineRule="auto"/>
              <w:jc w:val="right"/>
              <w:rPr>
                <w:rFonts w:asciiTheme="minorHAnsi" w:hAnsiTheme="minorHAnsi"/>
                <w:sz w:val="20"/>
                <w:szCs w:val="20"/>
              </w:rPr>
            </w:pPr>
            <w:r w:rsidRPr="00376E4F">
              <w:rPr>
                <w:rFonts w:asciiTheme="minorHAnsi" w:hAnsiTheme="minorHAnsi"/>
                <w:sz w:val="20"/>
                <w:szCs w:val="20"/>
              </w:rPr>
              <w:t>KOPĀ:</w:t>
            </w:r>
          </w:p>
        </w:tc>
        <w:tc>
          <w:tcPr>
            <w:tcW w:w="1500"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524</w:t>
            </w:r>
          </w:p>
        </w:tc>
        <w:tc>
          <w:tcPr>
            <w:tcW w:w="147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946"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3</w:t>
            </w:r>
          </w:p>
        </w:tc>
        <w:tc>
          <w:tcPr>
            <w:tcW w:w="997"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833"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934"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745" w:type="dxa"/>
            <w:hideMark/>
          </w:tcPr>
          <w:p w:rsidR="00164A4B" w:rsidRPr="00376E4F" w:rsidRDefault="00164A4B" w:rsidP="002B6D76">
            <w:pPr>
              <w:widowControl w:val="0"/>
              <w:spacing w:line="285" w:lineRule="auto"/>
              <w:jc w:val="center"/>
              <w:rPr>
                <w:rFonts w:asciiTheme="minorHAnsi" w:hAnsiTheme="minorHAnsi"/>
                <w:sz w:val="20"/>
                <w:szCs w:val="20"/>
              </w:rPr>
            </w:pPr>
            <w:r w:rsidRPr="00376E4F">
              <w:rPr>
                <w:rFonts w:asciiTheme="minorHAnsi" w:hAnsiTheme="minorHAnsi"/>
                <w:sz w:val="20"/>
                <w:szCs w:val="20"/>
              </w:rPr>
              <w:t>532</w:t>
            </w:r>
          </w:p>
        </w:tc>
      </w:tr>
    </w:tbl>
    <w:p w:rsidR="00164A4B" w:rsidRDefault="00164A4B" w:rsidP="00164A4B">
      <w:pPr>
        <w:jc w:val="both"/>
      </w:pPr>
    </w:p>
    <w:p w:rsidR="00164A4B" w:rsidRPr="00E124B1" w:rsidRDefault="00164A4B" w:rsidP="00E124B1">
      <w:pPr>
        <w:widowControl w:val="0"/>
        <w:spacing w:before="120"/>
        <w:jc w:val="both"/>
        <w:rPr>
          <w:rFonts w:asciiTheme="minorHAnsi" w:hAnsiTheme="minorHAnsi"/>
        </w:rPr>
      </w:pPr>
      <w:r w:rsidRPr="00E124B1">
        <w:rPr>
          <w:rFonts w:asciiTheme="minorHAnsi" w:hAnsiTheme="minorHAnsi"/>
        </w:rPr>
        <w:t xml:space="preserve">524 pārkāpumi konstatēti koksnes iepakojamā materiāla kravās, kurām nav ievērotas prasības, kas noteiktas Pārtikas un lauksaimniecības organizācijas Starptautiskās augu aizsardzības konvencijas Fitosanitāro pasākumu starptautiskajā standartā Nr.15 „Starptautiskajā tirdzniecībā izmantotā koksnes iepakojamā materiāla reglamentācija” (ISPM 15) (nav marķējums, marķējumā nav iekļauta visa noteiktā informācija, marķējums ir izplūdis, nesalasāms vai marķētā koksnes iepakojamā materiālā konstatēti dzīvi augiem kaitīgie organismi). 2012.gadā šo pārkāpumu skaits sastāda 98% no kopējā konstatēto pārkāpumu skaita un salīdzinoši ar 2011.gadu pārkāpumu skaits palielinājies par 1%. </w:t>
      </w:r>
    </w:p>
    <w:p w:rsidR="00164A4B" w:rsidRDefault="00164A4B" w:rsidP="00E124B1">
      <w:pPr>
        <w:widowControl w:val="0"/>
        <w:spacing w:before="120"/>
        <w:jc w:val="both"/>
        <w:rPr>
          <w:rFonts w:asciiTheme="minorHAnsi" w:hAnsiTheme="minorHAnsi"/>
        </w:rPr>
      </w:pPr>
      <w:r w:rsidRPr="00E124B1">
        <w:rPr>
          <w:rFonts w:asciiTheme="minorHAnsi" w:hAnsiTheme="minorHAnsi"/>
        </w:rPr>
        <w:t>Pēdējos 3 gados šo pārkāpumu skaits sastāda 97-99% no kopējā pārkāpumu skaita.</w:t>
      </w:r>
    </w:p>
    <w:p w:rsidR="00E124B1" w:rsidRPr="00E124B1" w:rsidRDefault="00E124B1" w:rsidP="00E124B1">
      <w:pPr>
        <w:widowControl w:val="0"/>
        <w:spacing w:before="120"/>
        <w:jc w:val="both"/>
        <w:rPr>
          <w:rFonts w:asciiTheme="minorHAnsi" w:hAnsiTheme="minorHAnsi"/>
        </w:rPr>
      </w:pPr>
    </w:p>
    <w:p w:rsidR="00164A4B" w:rsidRDefault="00164A4B" w:rsidP="00E124B1">
      <w:pPr>
        <w:shd w:val="clear" w:color="auto" w:fill="DAEEF3" w:themeFill="accent5" w:themeFillTint="33"/>
        <w:jc w:val="both"/>
        <w:rPr>
          <w:rFonts w:asciiTheme="minorHAnsi" w:hAnsiTheme="minorHAnsi"/>
        </w:rPr>
      </w:pPr>
      <w:r w:rsidRPr="00E124B1">
        <w:rPr>
          <w:rFonts w:asciiTheme="minorHAnsi" w:hAnsiTheme="minorHAnsi"/>
        </w:rPr>
        <w:t>Konstatēto pārkāpumu skaits kravās, kurās izmantots koksnes iepakojamais materiāls produkcijas pārvadāšanai 2010.-2012.gadam</w:t>
      </w:r>
    </w:p>
    <w:p w:rsidR="00E124B1" w:rsidRPr="00E124B1" w:rsidRDefault="00E124B1" w:rsidP="00E124B1">
      <w:pPr>
        <w:jc w:val="both"/>
        <w:rPr>
          <w:rFonts w:asciiTheme="minorHAnsi" w:hAnsiTheme="minorHAnsi"/>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2840"/>
        <w:gridCol w:w="2841"/>
        <w:gridCol w:w="2841"/>
      </w:tblGrid>
      <w:tr w:rsidR="00164A4B" w:rsidRPr="00376E4F" w:rsidTr="00E124B1">
        <w:tc>
          <w:tcPr>
            <w:tcW w:w="2840"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Pārskata periods</w:t>
            </w:r>
          </w:p>
        </w:tc>
        <w:tc>
          <w:tcPr>
            <w:tcW w:w="2841"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Konstatēto pārkāpumu skaits</w:t>
            </w:r>
          </w:p>
        </w:tc>
        <w:tc>
          <w:tcPr>
            <w:tcW w:w="2841"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 no kopējā konstatētā pārkāpumu skaita (%)</w:t>
            </w:r>
          </w:p>
        </w:tc>
      </w:tr>
      <w:tr w:rsidR="00164A4B" w:rsidRPr="00376E4F" w:rsidTr="00E124B1">
        <w:tc>
          <w:tcPr>
            <w:tcW w:w="284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2010.gads</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871</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99</w:t>
            </w:r>
          </w:p>
        </w:tc>
      </w:tr>
      <w:tr w:rsidR="00164A4B" w:rsidRPr="00376E4F" w:rsidTr="00E124B1">
        <w:tc>
          <w:tcPr>
            <w:tcW w:w="284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2011.gads</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631</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97</w:t>
            </w:r>
          </w:p>
        </w:tc>
      </w:tr>
      <w:tr w:rsidR="00164A4B" w:rsidRPr="00376E4F" w:rsidTr="00E124B1">
        <w:tc>
          <w:tcPr>
            <w:tcW w:w="284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2012.gads</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524</w:t>
            </w:r>
          </w:p>
        </w:tc>
        <w:tc>
          <w:tcPr>
            <w:tcW w:w="284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98</w:t>
            </w:r>
          </w:p>
        </w:tc>
      </w:tr>
    </w:tbl>
    <w:p w:rsidR="00164A4B" w:rsidRDefault="00164A4B" w:rsidP="00164A4B">
      <w:pPr>
        <w:jc w:val="both"/>
        <w:rPr>
          <w:color w:val="000000"/>
        </w:rPr>
      </w:pPr>
    </w:p>
    <w:p w:rsidR="00E124B1" w:rsidRDefault="00164A4B" w:rsidP="00E124B1">
      <w:pPr>
        <w:widowControl w:val="0"/>
        <w:spacing w:before="120"/>
        <w:jc w:val="both"/>
        <w:rPr>
          <w:rFonts w:asciiTheme="minorHAnsi" w:hAnsiTheme="minorHAnsi"/>
        </w:rPr>
      </w:pPr>
      <w:r w:rsidRPr="00E124B1">
        <w:rPr>
          <w:rFonts w:asciiTheme="minorHAnsi" w:hAnsiTheme="minorHAnsi"/>
        </w:rPr>
        <w:t xml:space="preserve">Laika posmā no 2009.-2011.gadam vislielākais pārkāpumu skaits konstatēts Krievijas, Baltkrievijas un Ukrainas izcelsmes kravām un tām kravām, kurās izmantots prasībām neatbilstošs koksnes iepakojamais materiāls. 2012.gadā vislielākais šo pārkāpumu skaits konstatēts Krievijas un Baltkrievijas izcelsmes kravām, taču salīdzinoši liels skaits arī Norvēģijas, Turcijas, Indijas un Ķīnas izcelsmes kravām. </w:t>
      </w:r>
    </w:p>
    <w:p w:rsidR="00E124B1" w:rsidRDefault="00E124B1">
      <w:pPr>
        <w:rPr>
          <w:rFonts w:asciiTheme="minorHAnsi" w:hAnsiTheme="minorHAnsi"/>
          <w:i/>
          <w:color w:val="943634" w:themeColor="accent2" w:themeShade="BF"/>
        </w:rPr>
      </w:pPr>
      <w:r>
        <w:rPr>
          <w:rFonts w:asciiTheme="minorHAnsi" w:hAnsiTheme="minorHAnsi"/>
          <w:i/>
          <w:color w:val="943634" w:themeColor="accent2" w:themeShade="BF"/>
        </w:rPr>
        <w:br w:type="page"/>
      </w:r>
    </w:p>
    <w:p w:rsidR="00376E4F" w:rsidRDefault="00E124B1" w:rsidP="00E124B1">
      <w:pPr>
        <w:widowControl w:val="0"/>
        <w:spacing w:before="120"/>
        <w:rPr>
          <w:noProof/>
        </w:rPr>
      </w:pPr>
      <w:r w:rsidRPr="00E124B1">
        <w:rPr>
          <w:rFonts w:asciiTheme="minorHAnsi" w:hAnsiTheme="minorHAnsi"/>
          <w:i/>
          <w:color w:val="943634" w:themeColor="accent2" w:themeShade="BF"/>
        </w:rPr>
        <w:lastRenderedPageBreak/>
        <w:t>Konstatētie pārkāpumi trešo valstu izcelsmes kravās</w:t>
      </w:r>
      <w:r>
        <w:rPr>
          <w:rFonts w:asciiTheme="minorHAnsi" w:hAnsiTheme="minorHAnsi"/>
          <w:i/>
          <w:color w:val="943634" w:themeColor="accent2" w:themeShade="BF"/>
        </w:rPr>
        <w:t xml:space="preserve">, </w:t>
      </w:r>
      <w:r w:rsidRPr="00E124B1">
        <w:rPr>
          <w:rFonts w:asciiTheme="minorHAnsi" w:hAnsiTheme="minorHAnsi"/>
          <w:i/>
          <w:color w:val="943634" w:themeColor="accent2" w:themeShade="BF"/>
        </w:rPr>
        <w:t>kurās izmantots koksnes iepakojamais materiāls 2012.gadā (%)</w:t>
      </w:r>
      <w:r>
        <w:rPr>
          <w:noProof/>
        </w:rPr>
        <w:t xml:space="preserve"> </w:t>
      </w:r>
    </w:p>
    <w:p w:rsidR="00164A4B" w:rsidRDefault="00164A4B" w:rsidP="00376E4F">
      <w:pPr>
        <w:widowControl w:val="0"/>
        <w:spacing w:before="120"/>
        <w:rPr>
          <w:color w:val="000000"/>
        </w:rPr>
      </w:pPr>
      <w:r>
        <w:rPr>
          <w:noProof/>
        </w:rPr>
        <w:drawing>
          <wp:inline distT="0" distB="0" distL="0" distR="0" wp14:anchorId="0C71B240" wp14:editId="00D004EA">
            <wp:extent cx="6002447" cy="3295462"/>
            <wp:effectExtent l="0" t="0" r="0" b="635"/>
            <wp:docPr id="50" name="Pictur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64A4B" w:rsidRDefault="00164A4B" w:rsidP="00E124B1">
      <w:pPr>
        <w:shd w:val="clear" w:color="auto" w:fill="DAEEF3" w:themeFill="accent5" w:themeFillTint="33"/>
        <w:jc w:val="both"/>
        <w:rPr>
          <w:rFonts w:asciiTheme="minorHAnsi" w:hAnsiTheme="minorHAnsi"/>
        </w:rPr>
      </w:pPr>
      <w:r w:rsidRPr="00E124B1">
        <w:rPr>
          <w:rFonts w:asciiTheme="minorHAnsi" w:hAnsiTheme="minorHAnsi"/>
        </w:rPr>
        <w:t>Konstatēto pārkāpumu skaits Krievijas, Baltkrievijas un Ukrainas izcelsmes kravās, kurās izmantots koksnes iepakojamais materiāls produkcijas pārvadāšanai 2010.-2012.gadam</w:t>
      </w:r>
    </w:p>
    <w:p w:rsidR="00E124B1" w:rsidRPr="00E124B1" w:rsidRDefault="00E124B1" w:rsidP="00E124B1">
      <w:pPr>
        <w:jc w:val="both"/>
        <w:rPr>
          <w:rFonts w:asciiTheme="minorHAnsi" w:hAnsiTheme="minorHAnsi"/>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2130"/>
        <w:gridCol w:w="2130"/>
        <w:gridCol w:w="2131"/>
        <w:gridCol w:w="2131"/>
      </w:tblGrid>
      <w:tr w:rsidR="00164A4B" w:rsidRPr="00376E4F" w:rsidTr="00E124B1">
        <w:tc>
          <w:tcPr>
            <w:tcW w:w="2130"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Importētājvalsts</w:t>
            </w:r>
          </w:p>
        </w:tc>
        <w:tc>
          <w:tcPr>
            <w:tcW w:w="2130"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2010.gads</w:t>
            </w:r>
          </w:p>
        </w:tc>
        <w:tc>
          <w:tcPr>
            <w:tcW w:w="2131"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2011.gads</w:t>
            </w:r>
          </w:p>
        </w:tc>
        <w:tc>
          <w:tcPr>
            <w:tcW w:w="2131"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2012.gads</w:t>
            </w:r>
          </w:p>
        </w:tc>
      </w:tr>
      <w:tr w:rsidR="00164A4B" w:rsidRPr="00376E4F" w:rsidTr="00E124B1">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Krievijas Federācija</w:t>
            </w:r>
          </w:p>
        </w:tc>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760</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499</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382</w:t>
            </w:r>
          </w:p>
        </w:tc>
      </w:tr>
      <w:tr w:rsidR="00164A4B" w:rsidRPr="00376E4F" w:rsidTr="00E124B1">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Baltkrievija</w:t>
            </w:r>
          </w:p>
        </w:tc>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45</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44</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66</w:t>
            </w:r>
          </w:p>
        </w:tc>
      </w:tr>
      <w:tr w:rsidR="00164A4B" w:rsidRPr="00376E4F" w:rsidTr="00E124B1">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Ukraina</w:t>
            </w:r>
          </w:p>
        </w:tc>
        <w:tc>
          <w:tcPr>
            <w:tcW w:w="2130"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30</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23</w:t>
            </w:r>
          </w:p>
        </w:tc>
        <w:tc>
          <w:tcPr>
            <w:tcW w:w="213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6</w:t>
            </w:r>
          </w:p>
        </w:tc>
      </w:tr>
    </w:tbl>
    <w:p w:rsidR="00164A4B" w:rsidRDefault="00164A4B" w:rsidP="00164A4B">
      <w:pPr>
        <w:spacing w:line="20" w:lineRule="atLeast"/>
        <w:jc w:val="both"/>
        <w:rPr>
          <w:color w:val="FF0000"/>
        </w:rPr>
      </w:pPr>
    </w:p>
    <w:p w:rsidR="00164A4B" w:rsidRPr="00E124B1" w:rsidRDefault="00164A4B" w:rsidP="00376E4F">
      <w:pPr>
        <w:widowControl w:val="0"/>
        <w:jc w:val="both"/>
        <w:rPr>
          <w:rFonts w:asciiTheme="minorHAnsi" w:hAnsiTheme="minorHAnsi"/>
        </w:rPr>
      </w:pPr>
      <w:r w:rsidRPr="00E124B1">
        <w:rPr>
          <w:rFonts w:asciiTheme="minorHAnsi" w:hAnsiTheme="minorHAnsi"/>
        </w:rPr>
        <w:t xml:space="preserve">18 konstatēto pārkāpumu gadījumos tika noņemts paraugs priežu koksnes nematodes </w:t>
      </w:r>
      <w:proofErr w:type="spellStart"/>
      <w:r w:rsidRPr="00E124B1">
        <w:rPr>
          <w:rFonts w:asciiTheme="minorHAnsi" w:hAnsiTheme="minorHAnsi"/>
          <w:i/>
        </w:rPr>
        <w:t>Bursaphelenchus</w:t>
      </w:r>
      <w:proofErr w:type="spellEnd"/>
      <w:r w:rsidRPr="00E124B1">
        <w:rPr>
          <w:rFonts w:asciiTheme="minorHAnsi" w:hAnsiTheme="minorHAnsi"/>
          <w:i/>
        </w:rPr>
        <w:t xml:space="preserve"> </w:t>
      </w:r>
      <w:proofErr w:type="spellStart"/>
      <w:r w:rsidRPr="00E124B1">
        <w:rPr>
          <w:rFonts w:asciiTheme="minorHAnsi" w:hAnsiTheme="minorHAnsi"/>
          <w:i/>
        </w:rPr>
        <w:t>xylophilus</w:t>
      </w:r>
      <w:proofErr w:type="spellEnd"/>
      <w:r w:rsidRPr="00E124B1">
        <w:rPr>
          <w:rFonts w:asciiTheme="minorHAnsi" w:hAnsiTheme="minorHAnsi"/>
          <w:i/>
        </w:rPr>
        <w:t xml:space="preserve"> </w:t>
      </w:r>
      <w:r w:rsidRPr="00E124B1">
        <w:rPr>
          <w:rFonts w:asciiTheme="minorHAnsi" w:hAnsiTheme="minorHAnsi"/>
        </w:rPr>
        <w:t xml:space="preserve">noteikšanai. Priežu koksnes nematodes klātbūtne netika konstatēta, bet 3 gadījumos tika konstatēts </w:t>
      </w:r>
      <w:proofErr w:type="spellStart"/>
      <w:r w:rsidRPr="00E124B1">
        <w:rPr>
          <w:rFonts w:asciiTheme="minorHAnsi" w:hAnsiTheme="minorHAnsi"/>
        </w:rPr>
        <w:t>nekarantīnas</w:t>
      </w:r>
      <w:proofErr w:type="spellEnd"/>
      <w:r w:rsidRPr="00E124B1">
        <w:rPr>
          <w:rFonts w:asciiTheme="minorHAnsi" w:hAnsiTheme="minorHAnsi"/>
        </w:rPr>
        <w:t xml:space="preserve"> organisms nematode </w:t>
      </w:r>
      <w:proofErr w:type="spellStart"/>
      <w:r w:rsidRPr="00E124B1">
        <w:rPr>
          <w:rFonts w:asciiTheme="minorHAnsi" w:hAnsiTheme="minorHAnsi"/>
        </w:rPr>
        <w:t>Bursaphelechus</w:t>
      </w:r>
      <w:proofErr w:type="spellEnd"/>
      <w:r w:rsidRPr="00E124B1">
        <w:rPr>
          <w:rFonts w:asciiTheme="minorHAnsi" w:hAnsiTheme="minorHAnsi"/>
        </w:rPr>
        <w:t xml:space="preserve"> </w:t>
      </w:r>
      <w:proofErr w:type="spellStart"/>
      <w:r w:rsidRPr="00E124B1">
        <w:rPr>
          <w:rFonts w:asciiTheme="minorHAnsi" w:hAnsiTheme="minorHAnsi"/>
        </w:rPr>
        <w:t>mucronatus</w:t>
      </w:r>
      <w:proofErr w:type="spellEnd"/>
      <w:r w:rsidRPr="00E124B1">
        <w:rPr>
          <w:rFonts w:asciiTheme="minorHAnsi" w:hAnsiTheme="minorHAnsi"/>
        </w:rPr>
        <w:t xml:space="preserve"> – Krievijas, Baltkrievijas un Turcijas izcelsmes koksnes iepakojamam materiālam. Vienā gadījumā paletes bija marķēta atbilstoši Nr.15 standarta prasībām, kas apliecina, ka ir veikta termiskā apstrāde, taču dzīvu nematožu klātbūtne liecina par to, ka šī apstrāde nav veikta vai veikta nekvalitatīvi. </w:t>
      </w:r>
    </w:p>
    <w:p w:rsidR="00164A4B" w:rsidRPr="00E124B1" w:rsidRDefault="00164A4B" w:rsidP="00E124B1">
      <w:pPr>
        <w:widowControl w:val="0"/>
        <w:spacing w:before="120"/>
        <w:jc w:val="both"/>
        <w:rPr>
          <w:rFonts w:asciiTheme="minorHAnsi" w:hAnsiTheme="minorHAnsi"/>
        </w:rPr>
      </w:pPr>
      <w:r w:rsidRPr="00E124B1">
        <w:rPr>
          <w:rFonts w:asciiTheme="minorHAnsi" w:hAnsiTheme="minorHAnsi"/>
        </w:rPr>
        <w:t>2012.gadā neatbilstošais koksnes iepakojamais materiāls tikai vienā gadījumā tika atgriezts atpakaļ uz eksportētājvalsti, 31 gadījumā – tas tika reeksportēts uz citām trešajām valstīm, kur nav ieviesta prasība par obligātu apstrādi un marķējumu atbilstoši ISPM Nr.15 standarta prasībām un 492 gadījumos neatbilstošais koksnes iepakojamais materiāls tika iznīcināts.</w:t>
      </w:r>
    </w:p>
    <w:p w:rsidR="00382CD7" w:rsidRDefault="00382CD7">
      <w:pPr>
        <w:rPr>
          <w:color w:val="FF0000"/>
        </w:rPr>
      </w:pPr>
      <w:r>
        <w:rPr>
          <w:color w:val="FF0000"/>
        </w:rPr>
        <w:br w:type="page"/>
      </w:r>
    </w:p>
    <w:p w:rsidR="00164A4B" w:rsidRPr="00E124B1" w:rsidRDefault="00164A4B" w:rsidP="00E124B1">
      <w:pPr>
        <w:shd w:val="clear" w:color="auto" w:fill="DAEEF3" w:themeFill="accent5" w:themeFillTint="33"/>
        <w:jc w:val="both"/>
        <w:rPr>
          <w:rFonts w:asciiTheme="minorHAnsi" w:hAnsiTheme="minorHAnsi"/>
        </w:rPr>
      </w:pPr>
      <w:r w:rsidRPr="00E124B1">
        <w:rPr>
          <w:rFonts w:asciiTheme="minorHAnsi" w:hAnsiTheme="minorHAnsi"/>
        </w:rPr>
        <w:lastRenderedPageBreak/>
        <w:t>Konstatēto pārkāpumu skaits augu un augu produktu kravās (izņemot koksnes iepakojamo materiālu), kuru izcelsme ir trešās valstis</w:t>
      </w:r>
    </w:p>
    <w:p w:rsidR="00164A4B" w:rsidRDefault="00164A4B" w:rsidP="00164A4B">
      <w:pPr>
        <w:spacing w:line="20" w:lineRule="atLeast"/>
        <w:jc w:val="center"/>
        <w:rPr>
          <w:b/>
          <w:color w:val="000000"/>
        </w:rPr>
      </w:pPr>
    </w:p>
    <w:tbl>
      <w:tblPr>
        <w:tblW w:w="9311" w:type="dxa"/>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4A0" w:firstRow="1" w:lastRow="0" w:firstColumn="1" w:lastColumn="0" w:noHBand="0" w:noVBand="1"/>
      </w:tblPr>
      <w:tblGrid>
        <w:gridCol w:w="1242"/>
        <w:gridCol w:w="851"/>
        <w:gridCol w:w="1843"/>
        <w:gridCol w:w="2409"/>
        <w:gridCol w:w="1177"/>
        <w:gridCol w:w="1789"/>
      </w:tblGrid>
      <w:tr w:rsidR="00376E4F" w:rsidRPr="00376E4F" w:rsidTr="00376E4F">
        <w:tc>
          <w:tcPr>
            <w:tcW w:w="1242"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Eksportētājvalsts</w:t>
            </w:r>
          </w:p>
        </w:tc>
        <w:tc>
          <w:tcPr>
            <w:tcW w:w="851"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Kravu skaits</w:t>
            </w:r>
          </w:p>
        </w:tc>
        <w:tc>
          <w:tcPr>
            <w:tcW w:w="1843"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Produkcijas nosaukums</w:t>
            </w:r>
          </w:p>
        </w:tc>
        <w:tc>
          <w:tcPr>
            <w:tcW w:w="2409"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Neatbilstības iemesls</w:t>
            </w:r>
          </w:p>
        </w:tc>
        <w:tc>
          <w:tcPr>
            <w:tcW w:w="1177" w:type="dxa"/>
            <w:hideMark/>
          </w:tcPr>
          <w:p w:rsidR="00164A4B" w:rsidRPr="00376E4F" w:rsidRDefault="00164A4B" w:rsidP="00E124B1">
            <w:pPr>
              <w:widowControl w:val="0"/>
              <w:spacing w:line="285" w:lineRule="auto"/>
              <w:jc w:val="center"/>
              <w:rPr>
                <w:rFonts w:asciiTheme="minorHAnsi" w:hAnsiTheme="minorHAnsi"/>
                <w:b/>
                <w:sz w:val="18"/>
                <w:szCs w:val="18"/>
              </w:rPr>
            </w:pPr>
            <w:r w:rsidRPr="00376E4F">
              <w:rPr>
                <w:rFonts w:asciiTheme="minorHAnsi" w:hAnsiTheme="minorHAnsi"/>
                <w:b/>
                <w:sz w:val="18"/>
                <w:szCs w:val="18"/>
              </w:rPr>
              <w:t xml:space="preserve"> Daudzums</w:t>
            </w:r>
          </w:p>
        </w:tc>
        <w:tc>
          <w:tcPr>
            <w:tcW w:w="1789" w:type="dxa"/>
            <w:hideMark/>
          </w:tcPr>
          <w:p w:rsidR="00164A4B" w:rsidRPr="00376E4F" w:rsidRDefault="00164A4B" w:rsidP="00E124B1">
            <w:pPr>
              <w:widowControl w:val="0"/>
              <w:spacing w:line="285" w:lineRule="auto"/>
              <w:jc w:val="center"/>
              <w:rPr>
                <w:rFonts w:asciiTheme="minorHAnsi" w:hAnsiTheme="minorHAnsi"/>
                <w:b/>
                <w:sz w:val="20"/>
                <w:szCs w:val="20"/>
              </w:rPr>
            </w:pPr>
            <w:r w:rsidRPr="00376E4F">
              <w:rPr>
                <w:rFonts w:asciiTheme="minorHAnsi" w:hAnsiTheme="minorHAnsi"/>
                <w:b/>
                <w:sz w:val="20"/>
                <w:szCs w:val="20"/>
              </w:rPr>
              <w:t>Veiktie pasākumi</w:t>
            </w:r>
          </w:p>
        </w:tc>
      </w:tr>
      <w:tr w:rsidR="00376E4F" w:rsidRPr="00376E4F" w:rsidTr="00376E4F">
        <w:tc>
          <w:tcPr>
            <w:tcW w:w="1242"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Baltkrievija</w:t>
            </w: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Augsne</w:t>
            </w:r>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Aizliegtie augu produkti</w:t>
            </w:r>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17 355 kg</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Nosūtīts atpakaļ uz eksportētājvalsti</w:t>
            </w:r>
          </w:p>
        </w:tc>
      </w:tr>
      <w:tr w:rsidR="00376E4F" w:rsidRPr="00376E4F" w:rsidTr="00376E4F">
        <w:tc>
          <w:tcPr>
            <w:tcW w:w="1242" w:type="dxa"/>
            <w:vMerge w:val="restart"/>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Izraēla</w:t>
            </w: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Baziliks </w:t>
            </w:r>
            <w:proofErr w:type="spellStart"/>
            <w:r w:rsidRPr="00376E4F">
              <w:rPr>
                <w:rFonts w:asciiTheme="minorHAnsi" w:hAnsiTheme="minorHAnsi"/>
                <w:sz w:val="20"/>
                <w:szCs w:val="20"/>
              </w:rPr>
              <w:t>Ocimum</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basilicum</w:t>
            </w:r>
            <w:proofErr w:type="spellEnd"/>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Konstatēts karantīnas organisms </w:t>
            </w:r>
            <w:proofErr w:type="spellStart"/>
            <w:r w:rsidRPr="00376E4F">
              <w:rPr>
                <w:rFonts w:asciiTheme="minorHAnsi" w:hAnsiTheme="minorHAnsi"/>
                <w:sz w:val="20"/>
                <w:szCs w:val="20"/>
              </w:rPr>
              <w:t>Bemisia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tabaci</w:t>
            </w:r>
            <w:proofErr w:type="spellEnd"/>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131 kg</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Nosūtīts atpakaļ uz eksportētājvalsti</w:t>
            </w:r>
          </w:p>
        </w:tc>
      </w:tr>
      <w:tr w:rsidR="00376E4F" w:rsidRPr="00376E4F" w:rsidTr="00376E4F">
        <w:tc>
          <w:tcPr>
            <w:tcW w:w="1242" w:type="dxa"/>
            <w:vMerge/>
            <w:vAlign w:val="center"/>
            <w:hideMark/>
          </w:tcPr>
          <w:p w:rsidR="00164A4B" w:rsidRPr="00376E4F" w:rsidRDefault="00164A4B" w:rsidP="00E124B1">
            <w:pPr>
              <w:widowControl w:val="0"/>
              <w:spacing w:line="285" w:lineRule="auto"/>
              <w:jc w:val="center"/>
              <w:rPr>
                <w:rFonts w:asciiTheme="minorHAnsi" w:hAnsiTheme="minorHAnsi"/>
                <w:sz w:val="20"/>
                <w:szCs w:val="20"/>
              </w:rPr>
            </w:pP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Baziliks </w:t>
            </w:r>
            <w:proofErr w:type="spellStart"/>
            <w:r w:rsidRPr="00376E4F">
              <w:rPr>
                <w:rFonts w:asciiTheme="minorHAnsi" w:hAnsiTheme="minorHAnsi"/>
                <w:sz w:val="20"/>
                <w:szCs w:val="20"/>
              </w:rPr>
              <w:t>Ocimum</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basilicum</w:t>
            </w:r>
            <w:proofErr w:type="spellEnd"/>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Konstatēts karantīnas organisms </w:t>
            </w:r>
            <w:proofErr w:type="spellStart"/>
            <w:r w:rsidRPr="00376E4F">
              <w:rPr>
                <w:rFonts w:asciiTheme="minorHAnsi" w:hAnsiTheme="minorHAnsi"/>
                <w:sz w:val="20"/>
                <w:szCs w:val="20"/>
              </w:rPr>
              <w:t>Liriomyza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sativae</w:t>
            </w:r>
            <w:proofErr w:type="spellEnd"/>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54 kg</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Nosūtīts atpakaļ uz eksportētājvalsti</w:t>
            </w:r>
          </w:p>
        </w:tc>
      </w:tr>
      <w:tr w:rsidR="00376E4F" w:rsidRPr="00376E4F" w:rsidTr="00376E4F">
        <w:tc>
          <w:tcPr>
            <w:tcW w:w="1242" w:type="dxa"/>
            <w:vMerge/>
            <w:vAlign w:val="center"/>
            <w:hideMark/>
          </w:tcPr>
          <w:p w:rsidR="00164A4B" w:rsidRPr="00376E4F" w:rsidRDefault="00164A4B" w:rsidP="00E124B1">
            <w:pPr>
              <w:widowControl w:val="0"/>
              <w:spacing w:line="285" w:lineRule="auto"/>
              <w:jc w:val="center"/>
              <w:rPr>
                <w:rFonts w:asciiTheme="minorHAnsi" w:hAnsiTheme="minorHAnsi"/>
                <w:sz w:val="20"/>
                <w:szCs w:val="20"/>
              </w:rPr>
            </w:pP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Ģipsenes </w:t>
            </w:r>
            <w:proofErr w:type="spellStart"/>
            <w:r w:rsidRPr="00376E4F">
              <w:rPr>
                <w:rFonts w:asciiTheme="minorHAnsi" w:hAnsiTheme="minorHAnsi"/>
                <w:sz w:val="20"/>
                <w:szCs w:val="20"/>
              </w:rPr>
              <w:t>Gypsophila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sp</w:t>
            </w:r>
            <w:proofErr w:type="spellEnd"/>
            <w:r w:rsidRPr="00376E4F">
              <w:rPr>
                <w:rFonts w:asciiTheme="minorHAnsi" w:hAnsiTheme="minorHAnsi"/>
                <w:sz w:val="20"/>
                <w:szCs w:val="20"/>
              </w:rPr>
              <w:t>.</w:t>
            </w:r>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Konstatēts karantīnas organisms </w:t>
            </w:r>
            <w:proofErr w:type="spellStart"/>
            <w:r w:rsidRPr="00376E4F">
              <w:rPr>
                <w:rFonts w:asciiTheme="minorHAnsi" w:hAnsiTheme="minorHAnsi"/>
                <w:sz w:val="20"/>
                <w:szCs w:val="20"/>
              </w:rPr>
              <w:t>Liriomyza</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trifolii</w:t>
            </w:r>
            <w:proofErr w:type="spellEnd"/>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1 000 gab.</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Nosūtīts atpakaļ uz eksportētājvalsti</w:t>
            </w:r>
          </w:p>
        </w:tc>
      </w:tr>
      <w:tr w:rsidR="00376E4F" w:rsidRPr="00376E4F" w:rsidTr="00376E4F">
        <w:tc>
          <w:tcPr>
            <w:tcW w:w="1242"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Kanāda</w:t>
            </w: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Sējas lucernas </w:t>
            </w:r>
            <w:proofErr w:type="spellStart"/>
            <w:r w:rsidRPr="00376E4F">
              <w:rPr>
                <w:rFonts w:asciiTheme="minorHAnsi" w:hAnsiTheme="minorHAnsi"/>
                <w:sz w:val="20"/>
                <w:szCs w:val="20"/>
              </w:rPr>
              <w:t>Medicago</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sativa</w:t>
            </w:r>
            <w:proofErr w:type="spellEnd"/>
            <w:r w:rsidRPr="00376E4F">
              <w:rPr>
                <w:rFonts w:asciiTheme="minorHAnsi" w:hAnsiTheme="minorHAnsi"/>
                <w:sz w:val="20"/>
                <w:szCs w:val="20"/>
              </w:rPr>
              <w:t xml:space="preserve"> sēklas</w:t>
            </w:r>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Nav fitosanitārā sertifikāta. </w:t>
            </w:r>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25 000 kg</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Pieprasīti atbilstošie dokumenti</w:t>
            </w:r>
          </w:p>
        </w:tc>
      </w:tr>
      <w:tr w:rsidR="00376E4F" w:rsidRPr="00376E4F" w:rsidTr="00376E4F">
        <w:tc>
          <w:tcPr>
            <w:tcW w:w="1242"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Krievija</w:t>
            </w:r>
          </w:p>
        </w:tc>
        <w:tc>
          <w:tcPr>
            <w:tcW w:w="851"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1</w:t>
            </w:r>
          </w:p>
        </w:tc>
        <w:tc>
          <w:tcPr>
            <w:tcW w:w="1843"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Lapegļu </w:t>
            </w:r>
            <w:proofErr w:type="spellStart"/>
            <w:r w:rsidRPr="00376E4F">
              <w:rPr>
                <w:rFonts w:asciiTheme="minorHAnsi" w:hAnsiTheme="minorHAnsi"/>
                <w:sz w:val="20"/>
                <w:szCs w:val="20"/>
              </w:rPr>
              <w:t>Larix</w:t>
            </w:r>
            <w:proofErr w:type="spellEnd"/>
            <w:r w:rsidRPr="00376E4F">
              <w:rPr>
                <w:rFonts w:asciiTheme="minorHAnsi" w:hAnsiTheme="minorHAnsi"/>
                <w:sz w:val="20"/>
                <w:szCs w:val="20"/>
              </w:rPr>
              <w:t xml:space="preserve"> </w:t>
            </w:r>
            <w:proofErr w:type="spellStart"/>
            <w:r w:rsidRPr="00376E4F">
              <w:rPr>
                <w:rFonts w:asciiTheme="minorHAnsi" w:hAnsiTheme="minorHAnsi"/>
                <w:sz w:val="20"/>
                <w:szCs w:val="20"/>
              </w:rPr>
              <w:t>sibirica</w:t>
            </w:r>
            <w:proofErr w:type="spellEnd"/>
            <w:r w:rsidRPr="00376E4F">
              <w:rPr>
                <w:rFonts w:asciiTheme="minorHAnsi" w:hAnsiTheme="minorHAnsi"/>
                <w:sz w:val="20"/>
                <w:szCs w:val="20"/>
              </w:rPr>
              <w:t xml:space="preserve"> zāģmateriāli</w:t>
            </w:r>
          </w:p>
        </w:tc>
        <w:tc>
          <w:tcPr>
            <w:tcW w:w="240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 xml:space="preserve">Fitosanitārajā sertifikātā, </w:t>
            </w:r>
            <w:proofErr w:type="spellStart"/>
            <w:r w:rsidRPr="00376E4F">
              <w:rPr>
                <w:rFonts w:asciiTheme="minorHAnsi" w:hAnsiTheme="minorHAnsi"/>
                <w:sz w:val="20"/>
                <w:szCs w:val="20"/>
              </w:rPr>
              <w:t>papilddeklarācijā</w:t>
            </w:r>
            <w:proofErr w:type="spellEnd"/>
            <w:r w:rsidRPr="00376E4F">
              <w:rPr>
                <w:rFonts w:asciiTheme="minorHAnsi" w:hAnsiTheme="minorHAnsi"/>
                <w:sz w:val="20"/>
                <w:szCs w:val="20"/>
              </w:rPr>
              <w:t xml:space="preserve"> norādīta nepilnīga informācija</w:t>
            </w:r>
          </w:p>
        </w:tc>
        <w:tc>
          <w:tcPr>
            <w:tcW w:w="1177"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85 m</w:t>
            </w:r>
            <w:r w:rsidRPr="00376E4F">
              <w:rPr>
                <w:rFonts w:asciiTheme="minorHAnsi" w:hAnsiTheme="minorHAnsi"/>
                <w:sz w:val="20"/>
                <w:szCs w:val="20"/>
                <w:vertAlign w:val="superscript"/>
              </w:rPr>
              <w:t>3</w:t>
            </w:r>
          </w:p>
        </w:tc>
        <w:tc>
          <w:tcPr>
            <w:tcW w:w="1789" w:type="dxa"/>
            <w:hideMark/>
          </w:tcPr>
          <w:p w:rsidR="00164A4B" w:rsidRPr="00376E4F" w:rsidRDefault="00164A4B" w:rsidP="00E124B1">
            <w:pPr>
              <w:widowControl w:val="0"/>
              <w:spacing w:line="285" w:lineRule="auto"/>
              <w:jc w:val="center"/>
              <w:rPr>
                <w:rFonts w:asciiTheme="minorHAnsi" w:hAnsiTheme="minorHAnsi"/>
                <w:sz w:val="20"/>
                <w:szCs w:val="20"/>
              </w:rPr>
            </w:pPr>
            <w:r w:rsidRPr="00376E4F">
              <w:rPr>
                <w:rFonts w:asciiTheme="minorHAnsi" w:hAnsiTheme="minorHAnsi"/>
                <w:sz w:val="20"/>
                <w:szCs w:val="20"/>
              </w:rPr>
              <w:t>Nosūtīts atpakaļ uz eksportētājvalsti</w:t>
            </w:r>
          </w:p>
        </w:tc>
      </w:tr>
    </w:tbl>
    <w:p w:rsidR="00164A4B" w:rsidRPr="00376E4F" w:rsidRDefault="00164A4B" w:rsidP="00164A4B">
      <w:pPr>
        <w:spacing w:line="20" w:lineRule="atLeast"/>
        <w:jc w:val="both"/>
        <w:rPr>
          <w:sz w:val="4"/>
          <w:szCs w:val="4"/>
        </w:rPr>
      </w:pP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 xml:space="preserve">Kopā konstatēti 8 pārkāpumi no 4 trešajām valstīm, kuru neatbilstības iemesls nebija neatbilstoša koksnes iepakojamā materiāla izmantošana kravu pārvadāšanai. </w:t>
      </w: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 xml:space="preserve">4 pārkāpumi konstatēti Izraēlas izcelsmes kravām, kur 1 kravā tika ievesti grieztie ziedi – ģipsenes (1 000 gab.), taču laboratorijas rezultāti atklāja karantīnas organismu – </w:t>
      </w:r>
      <w:proofErr w:type="spellStart"/>
      <w:r w:rsidRPr="0072216E">
        <w:rPr>
          <w:rFonts w:asciiTheme="minorHAnsi" w:hAnsiTheme="minorHAnsi"/>
        </w:rPr>
        <w:t>Liriomyza</w:t>
      </w:r>
      <w:proofErr w:type="spellEnd"/>
      <w:r w:rsidRPr="0072216E">
        <w:rPr>
          <w:rFonts w:asciiTheme="minorHAnsi" w:hAnsiTheme="minorHAnsi"/>
        </w:rPr>
        <w:t xml:space="preserve"> </w:t>
      </w:r>
      <w:proofErr w:type="spellStart"/>
      <w:r w:rsidRPr="0072216E">
        <w:rPr>
          <w:rFonts w:asciiTheme="minorHAnsi" w:hAnsiTheme="minorHAnsi"/>
        </w:rPr>
        <w:t>trifolii</w:t>
      </w:r>
      <w:proofErr w:type="spellEnd"/>
      <w:r w:rsidRPr="0072216E">
        <w:rPr>
          <w:rFonts w:asciiTheme="minorHAnsi" w:hAnsiTheme="minorHAnsi"/>
        </w:rPr>
        <w:t xml:space="preserve">, savukārt, 3 kravās tika ievesti baziliks (185 kg), kur tika konstatēti karantīnas organismi – </w:t>
      </w:r>
      <w:proofErr w:type="spellStart"/>
      <w:r w:rsidRPr="0072216E">
        <w:rPr>
          <w:rFonts w:asciiTheme="minorHAnsi" w:hAnsiTheme="minorHAnsi"/>
        </w:rPr>
        <w:t>Liriomyza</w:t>
      </w:r>
      <w:proofErr w:type="spellEnd"/>
      <w:r w:rsidRPr="0072216E">
        <w:rPr>
          <w:rFonts w:asciiTheme="minorHAnsi" w:hAnsiTheme="minorHAnsi"/>
        </w:rPr>
        <w:t xml:space="preserve"> </w:t>
      </w:r>
      <w:proofErr w:type="spellStart"/>
      <w:r w:rsidRPr="0072216E">
        <w:rPr>
          <w:rFonts w:asciiTheme="minorHAnsi" w:hAnsiTheme="minorHAnsi"/>
        </w:rPr>
        <w:t>sativae</w:t>
      </w:r>
      <w:proofErr w:type="spellEnd"/>
      <w:r w:rsidRPr="0072216E">
        <w:rPr>
          <w:rFonts w:asciiTheme="minorHAnsi" w:hAnsiTheme="minorHAnsi"/>
        </w:rPr>
        <w:t xml:space="preserve"> un </w:t>
      </w:r>
      <w:proofErr w:type="spellStart"/>
      <w:r w:rsidRPr="0072216E">
        <w:rPr>
          <w:rFonts w:asciiTheme="minorHAnsi" w:hAnsiTheme="minorHAnsi"/>
        </w:rPr>
        <w:t>Bemisia</w:t>
      </w:r>
      <w:proofErr w:type="spellEnd"/>
      <w:r w:rsidRPr="0072216E">
        <w:rPr>
          <w:rFonts w:asciiTheme="minorHAnsi" w:hAnsiTheme="minorHAnsi"/>
        </w:rPr>
        <w:t xml:space="preserve"> </w:t>
      </w:r>
      <w:proofErr w:type="spellStart"/>
      <w:r w:rsidRPr="0072216E">
        <w:rPr>
          <w:rFonts w:asciiTheme="minorHAnsi" w:hAnsiTheme="minorHAnsi"/>
        </w:rPr>
        <w:t>tabaci</w:t>
      </w:r>
      <w:proofErr w:type="spellEnd"/>
      <w:r w:rsidRPr="0072216E">
        <w:rPr>
          <w:rFonts w:asciiTheme="minorHAnsi" w:hAnsiTheme="minorHAnsi"/>
        </w:rPr>
        <w:t>. Kravas tika nosūtītas atpakaļ uz eksportētājvalsti.</w:t>
      </w: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1 pārkāpums konstatēts lapegļu zāģmateriālu (85 m3) kravai no Krievijas Federācijas, jo pievienotajā fitosanitārajā sertifikātā bija norādīta nepilnīga informācija. Krava tika nosūtīta atpakaļ uz eksportētājvalsti.</w:t>
      </w: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 xml:space="preserve">2 pārkāpumi tika konstatēti Kanādas izcelsmes kravai, kurā tika ievestas sējas lucernas sēklas (25 000 kg). Sākotnēji kravai nebija pievienots fitosanitārais sertifikāts, tādēļ tika pieprasīti atbilstoši dokumenti. Fitosanitārais sertifikāts tika saņemts, taču </w:t>
      </w:r>
      <w:proofErr w:type="spellStart"/>
      <w:r w:rsidRPr="0072216E">
        <w:rPr>
          <w:rFonts w:asciiTheme="minorHAnsi" w:hAnsiTheme="minorHAnsi"/>
        </w:rPr>
        <w:t>papilddeklarācijā</w:t>
      </w:r>
      <w:proofErr w:type="spellEnd"/>
      <w:r w:rsidRPr="0072216E">
        <w:rPr>
          <w:rFonts w:asciiTheme="minorHAnsi" w:hAnsiTheme="minorHAnsi"/>
        </w:rPr>
        <w:t xml:space="preserve"> bija norādīta nepilnīga informācija.</w:t>
      </w: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 xml:space="preserve">1 pārkāpums tika konstatēts Baltkrievijas izcelsmes kravā, kurā tika ievesta augsne (17 355 kg), kuru ir aizliegts ievest Latvijā. Krava tika nosūtīta atpakaļ uz eksportētājvalsti. </w:t>
      </w:r>
    </w:p>
    <w:p w:rsidR="00164A4B" w:rsidRPr="0072216E" w:rsidRDefault="00164A4B" w:rsidP="0072216E">
      <w:pPr>
        <w:widowControl w:val="0"/>
        <w:spacing w:before="120"/>
        <w:jc w:val="both"/>
        <w:rPr>
          <w:rFonts w:asciiTheme="minorHAnsi" w:hAnsiTheme="minorHAnsi"/>
        </w:rPr>
      </w:pPr>
      <w:r w:rsidRPr="0072216E">
        <w:rPr>
          <w:rFonts w:asciiTheme="minorHAnsi" w:hAnsiTheme="minorHAnsi"/>
        </w:rPr>
        <w:t xml:space="preserve">Salīdzinot ar 2011.gadu, no trešajām valstīm importētajām augu un augu produktu kravām pārkāpumu skaits ir samazinājies par 18 %. Par šiem pārkāpumiem </w:t>
      </w:r>
      <w:r w:rsidR="00DB586F">
        <w:rPr>
          <w:rFonts w:asciiTheme="minorHAnsi" w:hAnsiTheme="minorHAnsi"/>
        </w:rPr>
        <w:t>VAAD</w:t>
      </w:r>
      <w:r w:rsidRPr="0072216E">
        <w:rPr>
          <w:rFonts w:asciiTheme="minorHAnsi" w:hAnsiTheme="minorHAnsi"/>
        </w:rPr>
        <w:t xml:space="preserve"> sagatavoja notifikācijas (paziņojumus) un nosūtīja tās eksportētājvalstīm, kā arī informēja Eiropas Komisiju un Eiropas Savienības dalībvalstis.</w:t>
      </w:r>
    </w:p>
    <w:p w:rsidR="00164A4B" w:rsidRPr="00376E4F" w:rsidRDefault="00164A4B" w:rsidP="00164A4B">
      <w:pPr>
        <w:ind w:firstLine="720"/>
        <w:jc w:val="both"/>
        <w:rPr>
          <w:color w:val="000000"/>
          <w:sz w:val="4"/>
          <w:szCs w:val="4"/>
        </w:rPr>
      </w:pPr>
    </w:p>
    <w:p w:rsidR="00164A4B" w:rsidRPr="0072216E" w:rsidRDefault="00164A4B" w:rsidP="0072216E">
      <w:pPr>
        <w:widowControl w:val="0"/>
        <w:shd w:val="clear" w:color="auto" w:fill="EAF1DD" w:themeFill="accent3" w:themeFillTint="33"/>
        <w:spacing w:before="120"/>
        <w:jc w:val="both"/>
        <w:rPr>
          <w:rFonts w:asciiTheme="minorHAnsi" w:hAnsiTheme="minorHAnsi"/>
          <w:sz w:val="28"/>
        </w:rPr>
      </w:pPr>
      <w:r w:rsidRPr="0072216E">
        <w:rPr>
          <w:rFonts w:asciiTheme="minorHAnsi" w:hAnsiTheme="minorHAnsi"/>
          <w:sz w:val="28"/>
        </w:rPr>
        <w:t>Eksporta kravu kontrole un fitosanitāro sertifikātu izsniegšana</w:t>
      </w:r>
    </w:p>
    <w:p w:rsidR="0072216E" w:rsidRDefault="0072216E" w:rsidP="00164A4B">
      <w:pPr>
        <w:ind w:firstLine="600"/>
        <w:jc w:val="both"/>
        <w:rPr>
          <w:color w:val="000000"/>
        </w:rPr>
      </w:pPr>
    </w:p>
    <w:p w:rsidR="00164A4B" w:rsidRDefault="00164A4B" w:rsidP="00376E4F">
      <w:pPr>
        <w:widowControl w:val="0"/>
        <w:jc w:val="both"/>
        <w:rPr>
          <w:rFonts w:asciiTheme="minorHAnsi" w:hAnsiTheme="minorHAnsi"/>
        </w:rPr>
      </w:pPr>
      <w:r w:rsidRPr="0072216E">
        <w:rPr>
          <w:rFonts w:asciiTheme="minorHAnsi" w:hAnsiTheme="minorHAnsi"/>
        </w:rPr>
        <w:t xml:space="preserve">2012.gadā, lai pārbaudītu nosūtāmo kravu atbilstību importētājvalsts fitosanitārajām prasībām, veiktas 4247 pārbaudes un kopā izsniegti 29569 fitosanitārie </w:t>
      </w:r>
      <w:smartTag w:uri="schemas-tilde-lv/tildestengine" w:element="veidnes">
        <w:smartTagPr>
          <w:attr w:name="baseform" w:val="sertifikāt|s"/>
          <w:attr w:name="id" w:val="-1"/>
          <w:attr w:name="text" w:val="sertifikāti"/>
        </w:smartTagPr>
        <w:r w:rsidRPr="0072216E">
          <w:rPr>
            <w:rFonts w:asciiTheme="minorHAnsi" w:hAnsiTheme="minorHAnsi"/>
          </w:rPr>
          <w:t>sertifikāti</w:t>
        </w:r>
      </w:smartTag>
      <w:r w:rsidRPr="0072216E">
        <w:rPr>
          <w:rFonts w:asciiTheme="minorHAnsi" w:hAnsiTheme="minorHAnsi"/>
        </w:rPr>
        <w:t xml:space="preserve">, no tiem 28729 eksporta un 840 reeksporta fitosanitārie sertifikāti. Salīdzinoši ar 2011.gadu, izsniegto </w:t>
      </w:r>
      <w:r w:rsidRPr="0072216E">
        <w:rPr>
          <w:rFonts w:asciiTheme="minorHAnsi" w:hAnsiTheme="minorHAnsi"/>
        </w:rPr>
        <w:lastRenderedPageBreak/>
        <w:t>fitosanitāro sertifikātu skaits ir palielinājies par 1%. 2012.gadā ļoti būtiski - par 39% samazinājās izsniegto reeksporta sertifikātu skaits.</w:t>
      </w:r>
    </w:p>
    <w:p w:rsidR="0072216E" w:rsidRPr="0072216E" w:rsidRDefault="0072216E" w:rsidP="00DD2F30">
      <w:pPr>
        <w:widowControl w:val="0"/>
        <w:spacing w:before="120"/>
        <w:rPr>
          <w:rFonts w:asciiTheme="minorHAnsi" w:hAnsiTheme="minorHAnsi"/>
        </w:rPr>
      </w:pPr>
      <w:r w:rsidRPr="00DD2F30">
        <w:rPr>
          <w:rFonts w:asciiTheme="minorHAnsi" w:hAnsiTheme="minorHAnsi"/>
          <w:i/>
          <w:color w:val="943634" w:themeColor="accent2" w:themeShade="BF"/>
        </w:rPr>
        <w:t>Izsniegto fitosanitāro sertifikātu skaits (2008.-2012.gads)</w:t>
      </w:r>
    </w:p>
    <w:p w:rsidR="00164A4B" w:rsidRDefault="00164A4B" w:rsidP="00164A4B">
      <w:pPr>
        <w:jc w:val="both"/>
      </w:pPr>
      <w:r>
        <w:rPr>
          <w:noProof/>
        </w:rPr>
        <w:drawing>
          <wp:inline distT="0" distB="0" distL="0" distR="0" wp14:anchorId="7B02561C" wp14:editId="23AE7938">
            <wp:extent cx="4961164" cy="2971800"/>
            <wp:effectExtent l="0" t="0" r="0" b="0"/>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duotone>
                        <a:schemeClr val="accent3">
                          <a:shade val="45000"/>
                          <a:satMod val="135000"/>
                        </a:schemeClr>
                        <a:prstClr val="white"/>
                      </a:duotone>
                    </a:blip>
                    <a:srcRect l="2059" t="12903" r="1743" b="3226"/>
                    <a:stretch>
                      <a:fillRect/>
                    </a:stretch>
                  </pic:blipFill>
                  <pic:spPr bwMode="auto">
                    <a:xfrm>
                      <a:off x="0" y="0"/>
                      <a:ext cx="4961164" cy="2971800"/>
                    </a:xfrm>
                    <a:prstGeom prst="rect">
                      <a:avLst/>
                    </a:prstGeom>
                    <a:noFill/>
                    <a:ln w="9525">
                      <a:noFill/>
                      <a:miter lim="800000"/>
                      <a:headEnd/>
                      <a:tailEnd/>
                    </a:ln>
                  </pic:spPr>
                </pic:pic>
              </a:graphicData>
            </a:graphic>
          </wp:inline>
        </w:drawing>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t>Fitosanitārie sertifikāti izsniegti augu un augu produktu kravām, kas nosūtītas 102 valstīm. Salīdzinoši ar 2011.gadu, to skaits ir palielinājies par 11 valstīm, no tām 7 jaunas saņēmējvalstis - Nīderlandes Antiļas, Surinama, Senegāla, Madagaskara, Palestīna, Samoa un Mongolija.</w:t>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t xml:space="preserve">Visvairāk fitosanitārie sertifikāti izsniegti augu produkcijai uz Krievijas Federāciju (12637 FS), kas sastāda 43% no kopējā izsniegtā fitosanitārā sertifikāta skaita 2012.gadā. Ievērojams skaits fitosanitāro sertifikātu izsniegti arī augu produkcijai uz Baltkrieviju (3850 FS), kas sastāda 13% no kopējā izsniegtā fitosanitārā sertifikāta skaita, 8% uz Japānu (2472 FS), 6% uz Ķīnu (1744 FS) un 4% uz Uzbekistānu (1041 FS). </w:t>
      </w:r>
    </w:p>
    <w:p w:rsidR="00164A4B" w:rsidRDefault="00164A4B" w:rsidP="00164A4B">
      <w:pPr>
        <w:jc w:val="both"/>
      </w:pPr>
    </w:p>
    <w:p w:rsidR="00DD2F30" w:rsidRPr="00DD2F30" w:rsidRDefault="00DD2F30" w:rsidP="00DD2F30">
      <w:pPr>
        <w:widowControl w:val="0"/>
        <w:spacing w:before="120"/>
        <w:rPr>
          <w:rFonts w:asciiTheme="minorHAnsi" w:hAnsiTheme="minorHAnsi"/>
          <w:i/>
          <w:color w:val="943634" w:themeColor="accent2" w:themeShade="BF"/>
        </w:rPr>
      </w:pPr>
      <w:r w:rsidRPr="00DD2F30">
        <w:rPr>
          <w:rFonts w:asciiTheme="minorHAnsi" w:hAnsiTheme="minorHAnsi"/>
          <w:i/>
          <w:color w:val="943634" w:themeColor="accent2" w:themeShade="BF"/>
        </w:rPr>
        <w:t>Trešās valstis, uz kurām izsniegti fitosanitārie sertifikāti</w:t>
      </w:r>
      <w:r>
        <w:rPr>
          <w:rFonts w:asciiTheme="minorHAnsi" w:hAnsiTheme="minorHAnsi"/>
          <w:i/>
          <w:color w:val="943634" w:themeColor="accent2" w:themeShade="BF"/>
        </w:rPr>
        <w:t xml:space="preserve"> eksportētai augu produkcijai 2012.gadā (%)</w:t>
      </w:r>
    </w:p>
    <w:p w:rsidR="00164A4B" w:rsidRDefault="00164A4B" w:rsidP="00961EEC">
      <w:r>
        <w:rPr>
          <w:noProof/>
        </w:rPr>
        <w:drawing>
          <wp:inline distT="0" distB="0" distL="0" distR="0" wp14:anchorId="776D155C" wp14:editId="2ED95738">
            <wp:extent cx="4580165" cy="2677886"/>
            <wp:effectExtent l="19050" t="0" r="0" b="0"/>
            <wp:docPr id="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l="2707" t="14354" r="2369" b="7177"/>
                    <a:stretch>
                      <a:fillRect/>
                    </a:stretch>
                  </pic:blipFill>
                  <pic:spPr bwMode="auto">
                    <a:xfrm>
                      <a:off x="0" y="0"/>
                      <a:ext cx="4580165" cy="2677886"/>
                    </a:xfrm>
                    <a:prstGeom prst="rect">
                      <a:avLst/>
                    </a:prstGeom>
                    <a:noFill/>
                    <a:ln w="9525">
                      <a:noFill/>
                      <a:miter lim="800000"/>
                      <a:headEnd/>
                      <a:tailEnd/>
                    </a:ln>
                  </pic:spPr>
                </pic:pic>
              </a:graphicData>
            </a:graphic>
          </wp:inline>
        </w:drawing>
      </w:r>
    </w:p>
    <w:p w:rsidR="00164A4B" w:rsidRDefault="00164A4B" w:rsidP="00164A4B">
      <w:pPr>
        <w:jc w:val="both"/>
        <w:rPr>
          <w:color w:val="333399"/>
        </w:rPr>
      </w:pP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lastRenderedPageBreak/>
        <w:t xml:space="preserve">8 gadījumos pieņemts </w:t>
      </w:r>
      <w:smartTag w:uri="schemas-tilde-lv/tildestengine" w:element="veidnes">
        <w:smartTagPr>
          <w:attr w:name="text" w:val="lēmums"/>
          <w:attr w:name="baseform" w:val="lēmums"/>
          <w:attr w:name="id" w:val="-1"/>
        </w:smartTagPr>
        <w:r w:rsidRPr="00DD2F30">
          <w:rPr>
            <w:rFonts w:asciiTheme="minorHAnsi" w:hAnsiTheme="minorHAnsi"/>
          </w:rPr>
          <w:t>lēmums</w:t>
        </w:r>
      </w:smartTag>
      <w:r w:rsidRPr="00DD2F30">
        <w:rPr>
          <w:rFonts w:asciiTheme="minorHAnsi" w:hAnsiTheme="minorHAnsi"/>
        </w:rPr>
        <w:t xml:space="preserve"> neizsniegt fitosanitāro sertifikātu, jo konstatēta produkcijas neatbilstība importētājvalsts fitosanitārajām prasībām.</w:t>
      </w:r>
    </w:p>
    <w:p w:rsidR="00164A4B" w:rsidRDefault="00164A4B" w:rsidP="00164A4B">
      <w:pPr>
        <w:jc w:val="both"/>
        <w:rPr>
          <w:rFonts w:ascii="Verdana" w:hAnsi="Verdana" w:cs="Arial"/>
          <w:b/>
          <w:bCs/>
          <w:color w:val="003366"/>
          <w:sz w:val="16"/>
          <w:szCs w:val="16"/>
        </w:rPr>
      </w:pPr>
    </w:p>
    <w:p w:rsidR="00164A4B" w:rsidRPr="00DD2F30" w:rsidRDefault="00164A4B" w:rsidP="00DD2F30">
      <w:pPr>
        <w:widowControl w:val="0"/>
        <w:shd w:val="clear" w:color="auto" w:fill="EAF1DD" w:themeFill="accent3" w:themeFillTint="33"/>
        <w:spacing w:before="120"/>
        <w:jc w:val="both"/>
        <w:rPr>
          <w:rFonts w:asciiTheme="minorHAnsi" w:hAnsiTheme="minorHAnsi"/>
          <w:sz w:val="28"/>
        </w:rPr>
      </w:pPr>
      <w:r w:rsidRPr="00DD2F30">
        <w:rPr>
          <w:rFonts w:asciiTheme="minorHAnsi" w:hAnsiTheme="minorHAnsi"/>
          <w:sz w:val="28"/>
        </w:rPr>
        <w:t>Eksportētā augu produkcija un to daudzums</w:t>
      </w:r>
    </w:p>
    <w:p w:rsidR="00164A4B" w:rsidRDefault="00164A4B" w:rsidP="00164A4B">
      <w:pPr>
        <w:jc w:val="both"/>
        <w:rPr>
          <w:rFonts w:ascii="Verdana" w:hAnsi="Verdana" w:cs="Arial"/>
          <w:b/>
          <w:bCs/>
          <w:color w:val="000000"/>
          <w:sz w:val="16"/>
          <w:szCs w:val="16"/>
        </w:rPr>
      </w:pP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t>Uz trešajām valstīm galvenokārt tiek eksportēta šāda produkcija – svaigi dārzeņi un augļi, pārtikas un sēklu kartupeļi, kūdra, stādāmais un pavairojamais materiāls, koksne (t.sk. kokmateriāli) un gatavi koksnes izstrādājumi, mulča, sojas spraukumi, graudi un to produkti.</w:t>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t xml:space="preserve">Apskatot šo augu produkciju eksportētos apjomus 2012.gadā un salīdzinot ar 2011.gadu, tie ir gan palielinājušies, gan samazinājušies. </w:t>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t>Īpaši palielinājies ir koksnes un kokmateriālu (9 reizes daudzums gabalos un par 33% daudzums kubikmetros), gatavu koksnes izstrādājumu (7 reizes daudzums tonnās, 4 reizes daudzums kubikmetros un 2 reizes daudzums gabalos), graudu un to produktu (3 reizes), kā arī svaigu dārzeņu (81%), svaigu augļu (54%) un kūdras (par 20% daudzums tonnās) eksportētais apjoms. Savukārt strauji samazinājies ir eksportētais kartupeļu daudzums - par 97% pārtikas kartupeļu un par 45% sēklas kartupeļu. Ievērojami samazinājies ir arī mulčas eksportētais apjoms – par 66% daudzums maisos un 9% daudzums tonnās, kā arī par 25% stādāmā un pavairojamā materiāla daudzums tonnās un par 23% sojas spraukumu eksportētais apjoms.</w:t>
      </w:r>
    </w:p>
    <w:p w:rsidR="00164A4B" w:rsidRDefault="00164A4B" w:rsidP="00164A4B">
      <w:pPr>
        <w:ind w:firstLine="600"/>
        <w:jc w:val="both"/>
        <w:rPr>
          <w:color w:val="000080"/>
        </w:rPr>
      </w:pPr>
    </w:p>
    <w:p w:rsidR="00164A4B" w:rsidRPr="00DD2F30" w:rsidRDefault="00164A4B" w:rsidP="00DD2F30">
      <w:pPr>
        <w:shd w:val="clear" w:color="auto" w:fill="DAEEF3" w:themeFill="accent5" w:themeFillTint="33"/>
        <w:jc w:val="both"/>
        <w:rPr>
          <w:rFonts w:asciiTheme="minorHAnsi" w:hAnsiTheme="minorHAnsi"/>
        </w:rPr>
      </w:pPr>
      <w:r w:rsidRPr="00DD2F30">
        <w:rPr>
          <w:rFonts w:asciiTheme="minorHAnsi" w:hAnsiTheme="minorHAnsi"/>
        </w:rPr>
        <w:t xml:space="preserve">Eksportētais augu un augu produkcijas daudzums </w:t>
      </w:r>
    </w:p>
    <w:p w:rsidR="00164A4B" w:rsidRDefault="00164A4B" w:rsidP="00164A4B">
      <w:pPr>
        <w:ind w:firstLine="720"/>
        <w:jc w:val="both"/>
        <w:rPr>
          <w:color w:val="000000"/>
          <w:highlight w:val="yellow"/>
        </w:rPr>
      </w:pPr>
    </w:p>
    <w:tbl>
      <w:tblPr>
        <w:tblW w:w="8861" w:type="dxa"/>
        <w:tblInd w:w="93"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1457"/>
        <w:gridCol w:w="1260"/>
        <w:gridCol w:w="1176"/>
        <w:gridCol w:w="1236"/>
        <w:gridCol w:w="1236"/>
        <w:gridCol w:w="1260"/>
        <w:gridCol w:w="1236"/>
      </w:tblGrid>
      <w:tr w:rsidR="00164A4B" w:rsidRPr="008637DF" w:rsidTr="00DD2F30">
        <w:trPr>
          <w:trHeight w:val="885"/>
        </w:trPr>
        <w:tc>
          <w:tcPr>
            <w:tcW w:w="1457" w:type="dxa"/>
            <w:vMerge w:val="restart"/>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Produkcijas nosaukums</w:t>
            </w:r>
          </w:p>
        </w:tc>
        <w:tc>
          <w:tcPr>
            <w:tcW w:w="3672" w:type="dxa"/>
            <w:gridSpan w:val="3"/>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2011.gads</w:t>
            </w:r>
          </w:p>
        </w:tc>
        <w:tc>
          <w:tcPr>
            <w:tcW w:w="3732" w:type="dxa"/>
            <w:gridSpan w:val="3"/>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2012.gads</w:t>
            </w:r>
          </w:p>
        </w:tc>
      </w:tr>
      <w:tr w:rsidR="00164A4B" w:rsidRPr="008637DF" w:rsidTr="00DD2F30">
        <w:trPr>
          <w:trHeight w:val="315"/>
        </w:trPr>
        <w:tc>
          <w:tcPr>
            <w:tcW w:w="0" w:type="auto"/>
            <w:vMerge/>
            <w:vAlign w:val="center"/>
            <w:hideMark/>
          </w:tcPr>
          <w:p w:rsidR="00164A4B" w:rsidRPr="008637DF" w:rsidRDefault="00164A4B" w:rsidP="00DD2F30">
            <w:pPr>
              <w:widowControl w:val="0"/>
              <w:spacing w:line="285" w:lineRule="auto"/>
              <w:jc w:val="center"/>
              <w:rPr>
                <w:rFonts w:asciiTheme="minorHAnsi" w:hAnsiTheme="minorHAnsi"/>
                <w:b/>
                <w:sz w:val="20"/>
                <w:szCs w:val="20"/>
              </w:rPr>
            </w:pPr>
          </w:p>
        </w:tc>
        <w:tc>
          <w:tcPr>
            <w:tcW w:w="1260"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t</w:t>
            </w:r>
          </w:p>
        </w:tc>
        <w:tc>
          <w:tcPr>
            <w:tcW w:w="1176"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gab.</w:t>
            </w:r>
          </w:p>
        </w:tc>
        <w:tc>
          <w:tcPr>
            <w:tcW w:w="1236"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m³</w:t>
            </w:r>
          </w:p>
        </w:tc>
        <w:tc>
          <w:tcPr>
            <w:tcW w:w="1236"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t</w:t>
            </w:r>
          </w:p>
        </w:tc>
        <w:tc>
          <w:tcPr>
            <w:tcW w:w="1260"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gab.</w:t>
            </w:r>
          </w:p>
        </w:tc>
        <w:tc>
          <w:tcPr>
            <w:tcW w:w="1236" w:type="dxa"/>
            <w:hideMark/>
          </w:tcPr>
          <w:p w:rsidR="00164A4B" w:rsidRPr="008637DF" w:rsidRDefault="00164A4B" w:rsidP="00DD2F30">
            <w:pPr>
              <w:widowControl w:val="0"/>
              <w:spacing w:line="285" w:lineRule="auto"/>
              <w:jc w:val="center"/>
              <w:rPr>
                <w:rFonts w:asciiTheme="minorHAnsi" w:hAnsiTheme="minorHAnsi"/>
                <w:b/>
                <w:sz w:val="20"/>
                <w:szCs w:val="20"/>
              </w:rPr>
            </w:pPr>
            <w:r w:rsidRPr="008637DF">
              <w:rPr>
                <w:rFonts w:asciiTheme="minorHAnsi" w:hAnsiTheme="minorHAnsi"/>
                <w:b/>
                <w:sz w:val="20"/>
                <w:szCs w:val="20"/>
              </w:rPr>
              <w:t>m³</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Svaigi augļi</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8016,41</w:t>
            </w:r>
          </w:p>
        </w:tc>
        <w:tc>
          <w:tcPr>
            <w:tcW w:w="117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19648</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12338,93</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Svaigi dārzeņi</w:t>
            </w:r>
          </w:p>
        </w:tc>
        <w:tc>
          <w:tcPr>
            <w:tcW w:w="1260" w:type="dxa"/>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2428,08</w:t>
            </w:r>
          </w:p>
          <w:p w:rsidR="00164A4B" w:rsidRPr="008637DF" w:rsidRDefault="00164A4B" w:rsidP="00DD2F30">
            <w:pPr>
              <w:widowControl w:val="0"/>
              <w:spacing w:line="285" w:lineRule="auto"/>
              <w:jc w:val="center"/>
              <w:rPr>
                <w:rFonts w:asciiTheme="minorHAnsi" w:hAnsiTheme="minorHAnsi"/>
                <w:sz w:val="20"/>
                <w:szCs w:val="20"/>
              </w:rPr>
            </w:pPr>
          </w:p>
        </w:tc>
        <w:tc>
          <w:tcPr>
            <w:tcW w:w="117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4193</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4397,85</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Kartupeļi (pārtikai, pārstrādei)</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9307,95</w:t>
            </w:r>
          </w:p>
        </w:tc>
        <w:tc>
          <w:tcPr>
            <w:tcW w:w="117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263,92</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Kartupeļi (sēklas)</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7690,11</w:t>
            </w:r>
          </w:p>
        </w:tc>
        <w:tc>
          <w:tcPr>
            <w:tcW w:w="117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4239,88</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Kūdra </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183022,83</w:t>
            </w:r>
          </w:p>
        </w:tc>
        <w:tc>
          <w:tcPr>
            <w:tcW w:w="117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51038</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30534,63</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219383,21</w:t>
            </w:r>
          </w:p>
        </w:tc>
        <w:tc>
          <w:tcPr>
            <w:tcW w:w="1260"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28694,33</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Stādāmais materiāls</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729,52</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40751736</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547,01</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41170156</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Koksne un kokmateriāli</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667,34</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928</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686110,46</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451,68</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8287</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915039,20</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Gatavi koksnes izstrādājumi</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37,61</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75276</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12645,74</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257,83</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165496</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48913,67</w:t>
            </w:r>
          </w:p>
        </w:tc>
      </w:tr>
      <w:tr w:rsidR="00164A4B" w:rsidRPr="008637DF" w:rsidTr="00DD2F30">
        <w:trPr>
          <w:trHeight w:val="315"/>
        </w:trPr>
        <w:tc>
          <w:tcPr>
            <w:tcW w:w="1457" w:type="dxa"/>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Mulča</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251,90</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15670</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230,06</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5272</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noWrap/>
            <w:vAlign w:val="bottom"/>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Graudi un produkti</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277208,63</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885360,90</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r w:rsidR="00164A4B" w:rsidRPr="008637DF" w:rsidTr="00DD2F30">
        <w:trPr>
          <w:trHeight w:val="315"/>
        </w:trPr>
        <w:tc>
          <w:tcPr>
            <w:tcW w:w="1457" w:type="dxa"/>
            <w:noWrap/>
            <w:vAlign w:val="bottom"/>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Sojas spraukumi</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525118,40</w:t>
            </w:r>
          </w:p>
        </w:tc>
        <w:tc>
          <w:tcPr>
            <w:tcW w:w="117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402612,61</w:t>
            </w:r>
          </w:p>
        </w:tc>
        <w:tc>
          <w:tcPr>
            <w:tcW w:w="1260"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c>
          <w:tcPr>
            <w:tcW w:w="1236" w:type="dxa"/>
            <w:noWrap/>
            <w:hideMark/>
          </w:tcPr>
          <w:p w:rsidR="00164A4B" w:rsidRPr="008637DF" w:rsidRDefault="00164A4B" w:rsidP="00DD2F30">
            <w:pPr>
              <w:widowControl w:val="0"/>
              <w:spacing w:line="285" w:lineRule="auto"/>
              <w:jc w:val="center"/>
              <w:rPr>
                <w:rFonts w:asciiTheme="minorHAnsi" w:hAnsiTheme="minorHAnsi"/>
                <w:sz w:val="20"/>
                <w:szCs w:val="20"/>
              </w:rPr>
            </w:pPr>
            <w:r w:rsidRPr="008637DF">
              <w:rPr>
                <w:rFonts w:asciiTheme="minorHAnsi" w:hAnsiTheme="minorHAnsi"/>
                <w:sz w:val="20"/>
                <w:szCs w:val="20"/>
              </w:rPr>
              <w:t>-</w:t>
            </w:r>
          </w:p>
        </w:tc>
      </w:tr>
    </w:tbl>
    <w:p w:rsidR="00164A4B" w:rsidRDefault="00164A4B" w:rsidP="00DD2F30">
      <w:pPr>
        <w:widowControl w:val="0"/>
        <w:spacing w:before="120"/>
        <w:jc w:val="both"/>
        <w:rPr>
          <w:rFonts w:asciiTheme="minorHAnsi" w:hAnsiTheme="minorHAnsi"/>
        </w:rPr>
      </w:pPr>
      <w:r w:rsidRPr="00DD2F30">
        <w:rPr>
          <w:rFonts w:asciiTheme="minorHAnsi" w:hAnsiTheme="minorHAnsi"/>
          <w:u w:val="single"/>
        </w:rPr>
        <w:lastRenderedPageBreak/>
        <w:t>Svaigi augļi.</w:t>
      </w:r>
      <w:r w:rsidRPr="00DD2F30">
        <w:rPr>
          <w:rFonts w:asciiTheme="minorHAnsi" w:hAnsiTheme="minorHAnsi"/>
        </w:rPr>
        <w:t xml:space="preserve"> 2012.gadā Spānijas, Itālijas, Dienvidāfrikas, Brazīlijas, Vjetnamas, Nīderlandes, Polijas, Turcijas, Francijas, Grieķijas, Ēģiptes, Beļģijas, Čīles, Kostarikas, </w:t>
      </w:r>
      <w:proofErr w:type="spellStart"/>
      <w:r w:rsidRPr="00DD2F30">
        <w:rPr>
          <w:rFonts w:asciiTheme="minorHAnsi" w:hAnsiTheme="minorHAnsi"/>
        </w:rPr>
        <w:t>Perū</w:t>
      </w:r>
      <w:proofErr w:type="spellEnd"/>
      <w:r w:rsidRPr="00DD2F30">
        <w:rPr>
          <w:rFonts w:asciiTheme="minorHAnsi" w:hAnsiTheme="minorHAnsi"/>
        </w:rPr>
        <w:t>, Jaunzēlandes, Taizemes, Meksikas u.c. valstu izcelsmes augļu kravas eksportēja uz Krieviju un Baltkrieviju ar kopējo daudzumu 12338,93t. No kopējā eksportētā augļu daudzuma 89% jeb 11016,55t eksportēja uz Krievijas Federāciju un 11% jeb 1322,38t uz Baltkrieviju.</w:t>
      </w:r>
    </w:p>
    <w:p w:rsidR="008637DF" w:rsidRPr="008637DF" w:rsidRDefault="008637DF" w:rsidP="00DD2F30">
      <w:pPr>
        <w:widowControl w:val="0"/>
        <w:spacing w:before="120"/>
        <w:rPr>
          <w:rFonts w:asciiTheme="minorHAnsi" w:hAnsiTheme="minorHAnsi"/>
          <w:i/>
          <w:color w:val="943634" w:themeColor="accent2" w:themeShade="BF"/>
          <w:sz w:val="4"/>
          <w:szCs w:val="4"/>
        </w:rPr>
      </w:pPr>
    </w:p>
    <w:p w:rsidR="00DD2F30" w:rsidRPr="00DD2F30" w:rsidRDefault="00DD2F30" w:rsidP="00DD2F30">
      <w:pPr>
        <w:widowControl w:val="0"/>
        <w:spacing w:before="120"/>
        <w:rPr>
          <w:rFonts w:asciiTheme="minorHAnsi" w:hAnsiTheme="minorHAnsi"/>
        </w:rPr>
      </w:pPr>
      <w:r w:rsidRPr="00DD2F30">
        <w:rPr>
          <w:rFonts w:asciiTheme="minorHAnsi" w:hAnsiTheme="minorHAnsi"/>
          <w:i/>
          <w:color w:val="943634" w:themeColor="accent2" w:themeShade="BF"/>
        </w:rPr>
        <w:t>Trešās valstis, uz kurām eksportētas augļu kravas</w:t>
      </w:r>
    </w:p>
    <w:p w:rsidR="00164A4B" w:rsidRDefault="00164A4B" w:rsidP="00961EEC">
      <w:pPr>
        <w:tabs>
          <w:tab w:val="left" w:pos="2895"/>
        </w:tabs>
      </w:pPr>
      <w:r>
        <w:rPr>
          <w:noProof/>
        </w:rPr>
        <w:drawing>
          <wp:inline distT="0" distB="0" distL="0" distR="0" wp14:anchorId="62F3CF4A" wp14:editId="3E6442D1">
            <wp:extent cx="3730027" cy="2009870"/>
            <wp:effectExtent l="0" t="0" r="3810"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duotone>
                        <a:schemeClr val="accent3">
                          <a:shade val="45000"/>
                          <a:satMod val="135000"/>
                        </a:schemeClr>
                        <a:prstClr val="white"/>
                      </a:duotone>
                    </a:blip>
                    <a:srcRect l="15841" t="11141" r="1552" b="2387"/>
                    <a:stretch>
                      <a:fillRect/>
                    </a:stretch>
                  </pic:blipFill>
                  <pic:spPr bwMode="auto">
                    <a:xfrm>
                      <a:off x="0" y="0"/>
                      <a:ext cx="3735611" cy="2012879"/>
                    </a:xfrm>
                    <a:prstGeom prst="rect">
                      <a:avLst/>
                    </a:prstGeom>
                    <a:noFill/>
                    <a:ln w="9525">
                      <a:noFill/>
                      <a:miter lim="800000"/>
                      <a:headEnd/>
                      <a:tailEnd/>
                    </a:ln>
                  </pic:spPr>
                </pic:pic>
              </a:graphicData>
            </a:graphic>
          </wp:inline>
        </w:drawing>
      </w:r>
    </w:p>
    <w:p w:rsidR="00164A4B" w:rsidRDefault="00164A4B" w:rsidP="00164A4B">
      <w:pPr>
        <w:tabs>
          <w:tab w:val="left" w:pos="2895"/>
        </w:tabs>
        <w:ind w:firstLine="720"/>
        <w:jc w:val="both"/>
      </w:pPr>
    </w:p>
    <w:p w:rsidR="00164A4B" w:rsidRPr="00DD2F30" w:rsidRDefault="00164A4B" w:rsidP="008637DF">
      <w:pPr>
        <w:widowControl w:val="0"/>
        <w:jc w:val="both"/>
        <w:rPr>
          <w:rFonts w:asciiTheme="minorHAnsi" w:hAnsiTheme="minorHAnsi"/>
        </w:rPr>
      </w:pPr>
      <w:r w:rsidRPr="00DD2F30">
        <w:rPr>
          <w:rFonts w:asciiTheme="minorHAnsi" w:hAnsiTheme="minorHAnsi"/>
        </w:rPr>
        <w:t>Salīdzinoši ar 2011.gadu, eksportētais augļu daudzums uz šīm valstīm palielinājās par 53%, jo to eksportētais daudzums uz Baltkrieviju palielinājās 8 reizes un uz Krievijas Federāciju par 42%, neskatoties uz to, ka 2012.gadā augļu kravas uz Kazahstānu netika eksportētas.</w:t>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u w:val="single"/>
        </w:rPr>
        <w:t>Svaigi dārzeņi</w:t>
      </w:r>
      <w:r w:rsidRPr="00DD2F30">
        <w:rPr>
          <w:rFonts w:asciiTheme="minorHAnsi" w:hAnsiTheme="minorHAnsi"/>
        </w:rPr>
        <w:t xml:space="preserve">. 2012.gadā dārzeņu kravas eksportētas uz Muitas Savienības valstīm – Krievijas Federāciju, Baltkrieviju un Kazahstānu ar kopējo daudzumu 4397,85t, galvenokārt Polijas, Itālijas, Spānijas, Ēģiptes, Marokas, Nīderlandes, Vācijas, </w:t>
      </w:r>
      <w:proofErr w:type="spellStart"/>
      <w:r w:rsidRPr="00DD2F30">
        <w:rPr>
          <w:rFonts w:asciiTheme="minorHAnsi" w:hAnsiTheme="minorHAnsi"/>
        </w:rPr>
        <w:t>Perū</w:t>
      </w:r>
      <w:proofErr w:type="spellEnd"/>
      <w:r w:rsidRPr="00DD2F30">
        <w:rPr>
          <w:rFonts w:asciiTheme="minorHAnsi" w:hAnsiTheme="minorHAnsi"/>
        </w:rPr>
        <w:t>, Ķīnas, Izraēlas un Zimbabves izcelsmes. 99% no kopējā eksportētā daudzuma jeb 4360,08t ir eksportētas uz Krievijas Federāciju, 37,76t uz Baltkrieviju un 0,006t uz Kazahstānu. Salīdzinoši ar 2011.gadu, dārzeņu eksports uz šīm valstīm ir palielinājies par 81%, jo par 82% ir palielinājies eksportētais daudzums uz Krievijas Federāciju, par 33% - uz Baltkrieviju un ir nākusi klāt viena jauna saņēmējvalsts – Kazahstāna.</w:t>
      </w:r>
    </w:p>
    <w:p w:rsidR="00DD2F30" w:rsidRDefault="00DD2F30" w:rsidP="00DD2F30">
      <w:pPr>
        <w:widowControl w:val="0"/>
        <w:spacing w:before="120"/>
        <w:rPr>
          <w:b/>
        </w:rPr>
      </w:pPr>
      <w:r w:rsidRPr="00DD2F30">
        <w:rPr>
          <w:rFonts w:asciiTheme="minorHAnsi" w:hAnsiTheme="minorHAnsi"/>
          <w:i/>
          <w:color w:val="943634" w:themeColor="accent2" w:themeShade="BF"/>
        </w:rPr>
        <w:t>Svaigu dārzeņu eksportētais daudzums</w:t>
      </w:r>
      <w:r>
        <w:rPr>
          <w:rFonts w:asciiTheme="minorHAnsi" w:hAnsiTheme="minorHAnsi"/>
          <w:i/>
          <w:color w:val="943634" w:themeColor="accent2" w:themeShade="BF"/>
        </w:rPr>
        <w:t xml:space="preserve"> uz Krievijas Federāciju un Baltkrieviju                     (2010. – 2012.gads)</w:t>
      </w:r>
    </w:p>
    <w:p w:rsidR="00164A4B" w:rsidRPr="008637DF" w:rsidRDefault="00164A4B" w:rsidP="00164A4B">
      <w:pPr>
        <w:ind w:firstLine="720"/>
        <w:jc w:val="both"/>
        <w:rPr>
          <w:color w:val="000000"/>
          <w:sz w:val="4"/>
          <w:szCs w:val="4"/>
        </w:rPr>
      </w:pPr>
    </w:p>
    <w:p w:rsidR="00164A4B" w:rsidRDefault="00164A4B" w:rsidP="00164A4B">
      <w:pPr>
        <w:tabs>
          <w:tab w:val="left" w:pos="2895"/>
        </w:tabs>
      </w:pPr>
      <w:r>
        <w:rPr>
          <w:noProof/>
        </w:rPr>
        <w:drawing>
          <wp:inline distT="0" distB="0" distL="0" distR="0" wp14:anchorId="27642C36" wp14:editId="4900D6C1">
            <wp:extent cx="5081089" cy="2295393"/>
            <wp:effectExtent l="0" t="0" r="5715" b="0"/>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duotone>
                        <a:schemeClr val="accent3">
                          <a:shade val="45000"/>
                          <a:satMod val="135000"/>
                        </a:schemeClr>
                        <a:prstClr val="white"/>
                      </a:duotone>
                    </a:blip>
                    <a:srcRect l="2171" t="21615" r="1241" b="5169"/>
                    <a:stretch>
                      <a:fillRect/>
                    </a:stretch>
                  </pic:blipFill>
                  <pic:spPr bwMode="auto">
                    <a:xfrm>
                      <a:off x="0" y="0"/>
                      <a:ext cx="5081089" cy="2295393"/>
                    </a:xfrm>
                    <a:prstGeom prst="rect">
                      <a:avLst/>
                    </a:prstGeom>
                    <a:noFill/>
                    <a:ln w="9525">
                      <a:noFill/>
                      <a:miter lim="800000"/>
                      <a:headEnd/>
                      <a:tailEnd/>
                    </a:ln>
                  </pic:spPr>
                </pic:pic>
              </a:graphicData>
            </a:graphic>
          </wp:inline>
        </w:drawing>
      </w:r>
    </w:p>
    <w:p w:rsidR="00164A4B" w:rsidRPr="008637DF" w:rsidRDefault="00164A4B" w:rsidP="00164A4B">
      <w:pPr>
        <w:tabs>
          <w:tab w:val="left" w:pos="2895"/>
        </w:tabs>
        <w:rPr>
          <w:sz w:val="4"/>
          <w:szCs w:val="4"/>
          <w:u w:val="single"/>
        </w:rPr>
      </w:pPr>
    </w:p>
    <w:p w:rsidR="00164A4B" w:rsidRPr="00DD2F30" w:rsidRDefault="00164A4B" w:rsidP="008637DF">
      <w:pPr>
        <w:widowControl w:val="0"/>
        <w:jc w:val="both"/>
        <w:rPr>
          <w:rFonts w:asciiTheme="minorHAnsi" w:hAnsiTheme="minorHAnsi"/>
        </w:rPr>
      </w:pPr>
      <w:r w:rsidRPr="00DD2F30">
        <w:rPr>
          <w:rFonts w:asciiTheme="minorHAnsi" w:hAnsiTheme="minorHAnsi"/>
          <w:u w:val="single"/>
        </w:rPr>
        <w:t>Pārtikas kartupeļi.</w:t>
      </w:r>
      <w:r w:rsidRPr="00DD2F30">
        <w:rPr>
          <w:rFonts w:asciiTheme="minorHAnsi" w:hAnsiTheme="minorHAnsi"/>
        </w:rPr>
        <w:t xml:space="preserve"> 2012.gadā uz trešajām valstīm, t.i., uz Krievijas Federāciju, un Gvineju – Bisavu, eksportēja Francijas, Spānijas, Nīderlandes un Polijas izcelsmes pārtikas kartupeļu kravas ar kopējo daudzumu 263,92t. </w:t>
      </w:r>
    </w:p>
    <w:p w:rsidR="00164A4B" w:rsidRPr="00DD2F30" w:rsidRDefault="00164A4B" w:rsidP="00DD2F30">
      <w:pPr>
        <w:widowControl w:val="0"/>
        <w:spacing w:before="120"/>
        <w:jc w:val="both"/>
        <w:rPr>
          <w:rFonts w:asciiTheme="minorHAnsi" w:hAnsiTheme="minorHAnsi"/>
        </w:rPr>
      </w:pPr>
      <w:r w:rsidRPr="00DD2F30">
        <w:rPr>
          <w:rFonts w:asciiTheme="minorHAnsi" w:hAnsiTheme="minorHAnsi"/>
        </w:rPr>
        <w:lastRenderedPageBreak/>
        <w:t>Salīdzinoši ar 2011.gadu, 2012.gadā strauji - par 97% samazinājās pārtikas kartupeļu eksportētais daudzums uz šīm valstīm, jo Krievijas Federācijā par 97% samazinājās pieprasījums pēc tiem. 2011.gadā Krievijas Federācijā straujo pieprasījumu pēc pārtikas kartupeļiem izraisīja kartupeļu deficīts valstī lielā sausuma dēļ.</w:t>
      </w:r>
    </w:p>
    <w:p w:rsidR="008E3DF5" w:rsidRDefault="00DD2F30" w:rsidP="008E3DF5">
      <w:pPr>
        <w:widowControl w:val="0"/>
        <w:spacing w:before="120"/>
        <w:rPr>
          <w:b/>
        </w:rPr>
      </w:pPr>
      <w:r w:rsidRPr="00DD2F30">
        <w:rPr>
          <w:rFonts w:asciiTheme="minorHAnsi" w:hAnsiTheme="minorHAnsi"/>
          <w:i/>
          <w:color w:val="943634" w:themeColor="accent2" w:themeShade="BF"/>
        </w:rPr>
        <w:t>Pārtikas kartupeļu eksportētais daudzums</w:t>
      </w:r>
      <w:r w:rsidR="008E3DF5">
        <w:rPr>
          <w:rFonts w:asciiTheme="minorHAnsi" w:hAnsiTheme="minorHAnsi"/>
          <w:i/>
          <w:color w:val="943634" w:themeColor="accent2" w:themeShade="BF"/>
        </w:rPr>
        <w:t xml:space="preserve"> uz Krievijas Federāciju (2010. – 2012.gads)</w:t>
      </w:r>
    </w:p>
    <w:p w:rsidR="00164A4B" w:rsidRDefault="00164A4B" w:rsidP="00961EEC">
      <w:pPr>
        <w:tabs>
          <w:tab w:val="left" w:pos="2895"/>
        </w:tabs>
      </w:pPr>
      <w:r>
        <w:rPr>
          <w:noProof/>
        </w:rPr>
        <w:drawing>
          <wp:inline distT="0" distB="0" distL="0" distR="0" wp14:anchorId="403B7A5D" wp14:editId="44D209DE">
            <wp:extent cx="4495800" cy="2173284"/>
            <wp:effectExtent l="0" t="0" r="0"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duotone>
                        <a:schemeClr val="accent3">
                          <a:shade val="45000"/>
                          <a:satMod val="135000"/>
                        </a:schemeClr>
                        <a:prstClr val="white"/>
                      </a:duotone>
                    </a:blip>
                    <a:srcRect l="2422" t="23513" r="2185" b="4542"/>
                    <a:stretch>
                      <a:fillRect/>
                    </a:stretch>
                  </pic:blipFill>
                  <pic:spPr bwMode="auto">
                    <a:xfrm>
                      <a:off x="0" y="0"/>
                      <a:ext cx="4495800" cy="2173284"/>
                    </a:xfrm>
                    <a:prstGeom prst="rect">
                      <a:avLst/>
                    </a:prstGeom>
                    <a:noFill/>
                    <a:ln w="9525">
                      <a:noFill/>
                      <a:miter lim="800000"/>
                      <a:headEnd/>
                      <a:tailEnd/>
                    </a:ln>
                  </pic:spPr>
                </pic:pic>
              </a:graphicData>
            </a:graphic>
          </wp:inline>
        </w:drawing>
      </w:r>
    </w:p>
    <w:p w:rsidR="00164A4B" w:rsidRPr="008637DF" w:rsidRDefault="00164A4B" w:rsidP="008637DF">
      <w:pPr>
        <w:tabs>
          <w:tab w:val="left" w:pos="2895"/>
        </w:tabs>
        <w:jc w:val="both"/>
        <w:rPr>
          <w:sz w:val="4"/>
          <w:szCs w:val="4"/>
        </w:rPr>
      </w:pPr>
    </w:p>
    <w:p w:rsidR="00164A4B" w:rsidRPr="008E3DF5" w:rsidRDefault="00164A4B" w:rsidP="008637DF">
      <w:pPr>
        <w:widowControl w:val="0"/>
        <w:jc w:val="both"/>
        <w:rPr>
          <w:rFonts w:asciiTheme="minorHAnsi" w:hAnsiTheme="minorHAnsi"/>
        </w:rPr>
      </w:pPr>
      <w:proofErr w:type="gramStart"/>
      <w:r w:rsidRPr="008E3DF5">
        <w:rPr>
          <w:rFonts w:asciiTheme="minorHAnsi" w:hAnsiTheme="minorHAnsi"/>
        </w:rPr>
        <w:t>Bez tam</w:t>
      </w:r>
      <w:proofErr w:type="gramEnd"/>
      <w:r w:rsidRPr="008E3DF5">
        <w:rPr>
          <w:rFonts w:asciiTheme="minorHAnsi" w:hAnsiTheme="minorHAnsi"/>
        </w:rPr>
        <w:t>, par 2 valstīm ir samazinājies trešo valstu skaits uz kurām tika eksportētas pārtikas kartupeļu kravas, taču ir klāt nākusi viena jauna saņēmējvalsts – Gvineja – Bisava uz kuru 2012.gadā eksportēta 1 krava ar 24t Polijas izcelsmes pārtikas kartupeļiem jeb 9% no kopējā eksportētā pārtikas kartupeļa daudzuma. 91% no kopējā eksportētā pārtikas kartupeļa daudzuma 2012.gadā jeb 31 kravas ar 239,92 t Francijas, Spānijas, Nīderlandes un Polijas izcelsmes pārtikas kartupeļiem eksportēja uz Krievijas Federāciju.</w:t>
      </w:r>
    </w:p>
    <w:p w:rsidR="00164A4B" w:rsidRDefault="00164A4B" w:rsidP="008E3DF5">
      <w:pPr>
        <w:widowControl w:val="0"/>
        <w:spacing w:before="120"/>
        <w:jc w:val="both"/>
        <w:rPr>
          <w:rFonts w:asciiTheme="minorHAnsi" w:hAnsiTheme="minorHAnsi"/>
        </w:rPr>
      </w:pPr>
      <w:r w:rsidRPr="008E3DF5">
        <w:rPr>
          <w:rFonts w:asciiTheme="minorHAnsi" w:hAnsiTheme="minorHAnsi"/>
          <w:u w:val="single"/>
        </w:rPr>
        <w:t>Sēklas kartupeļi.</w:t>
      </w:r>
      <w:r w:rsidRPr="008E3DF5">
        <w:rPr>
          <w:rFonts w:asciiTheme="minorHAnsi" w:hAnsiTheme="minorHAnsi"/>
        </w:rPr>
        <w:t xml:space="preserve"> 2012.gadā uz trešajām valstīm, t.i., Krievijas Federāciju un Uzbekistānu, eksportēja 4239,88t Nīderlandes izcelsmes sēklas kartupeļus. Salīdzinoši ar 2011.gadu, 2012.gadā eksportētais daudzums uz šīm valstīm samazinājās par 45% jeb par 76% samazinājās eksportētais sēklas kartupeļu daudzums uz Krievijas Federāciju un par 44% - uz Uzbekistānu. </w:t>
      </w:r>
    </w:p>
    <w:p w:rsidR="008E3DF5" w:rsidRDefault="008E3DF5" w:rsidP="008E3DF5">
      <w:pPr>
        <w:widowControl w:val="0"/>
        <w:tabs>
          <w:tab w:val="center" w:pos="4559"/>
        </w:tabs>
        <w:spacing w:before="120"/>
      </w:pPr>
      <w:r w:rsidRPr="008E3DF5">
        <w:rPr>
          <w:rFonts w:asciiTheme="minorHAnsi" w:hAnsiTheme="minorHAnsi"/>
          <w:i/>
          <w:color w:val="943634" w:themeColor="accent2" w:themeShade="BF"/>
        </w:rPr>
        <w:t>Eksportētais sēklas kartupeļu daudzums</w:t>
      </w:r>
      <w:r>
        <w:rPr>
          <w:rFonts w:asciiTheme="minorHAnsi" w:hAnsiTheme="minorHAnsi"/>
          <w:i/>
          <w:color w:val="943634" w:themeColor="accent2" w:themeShade="BF"/>
        </w:rPr>
        <w:t xml:space="preserve"> uz trešajām valstīm (2010.-2012.gads)</w:t>
      </w:r>
    </w:p>
    <w:p w:rsidR="00164A4B" w:rsidRDefault="00164A4B" w:rsidP="00961EEC">
      <w:r>
        <w:rPr>
          <w:noProof/>
          <w:color w:val="000000"/>
        </w:rPr>
        <w:drawing>
          <wp:inline distT="0" distB="0" distL="0" distR="0" wp14:anchorId="48D15972" wp14:editId="2261556A">
            <wp:extent cx="4963524" cy="2000250"/>
            <wp:effectExtent l="0" t="0" r="8890"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duotone>
                        <a:schemeClr val="accent3">
                          <a:shade val="45000"/>
                          <a:satMod val="135000"/>
                        </a:schemeClr>
                        <a:prstClr val="white"/>
                      </a:duotone>
                    </a:blip>
                    <a:srcRect l="2976" t="23782" r="1833" b="5980"/>
                    <a:stretch>
                      <a:fillRect/>
                    </a:stretch>
                  </pic:blipFill>
                  <pic:spPr bwMode="auto">
                    <a:xfrm>
                      <a:off x="0" y="0"/>
                      <a:ext cx="4963524" cy="2000250"/>
                    </a:xfrm>
                    <a:prstGeom prst="rect">
                      <a:avLst/>
                    </a:prstGeom>
                    <a:noFill/>
                    <a:ln w="9525">
                      <a:noFill/>
                      <a:miter lim="800000"/>
                      <a:headEnd/>
                      <a:tailEnd/>
                    </a:ln>
                  </pic:spPr>
                </pic:pic>
              </a:graphicData>
            </a:graphic>
          </wp:inline>
        </w:drawing>
      </w:r>
    </w:p>
    <w:p w:rsidR="00164A4B" w:rsidRPr="008637DF" w:rsidRDefault="00164A4B" w:rsidP="00164A4B">
      <w:pPr>
        <w:tabs>
          <w:tab w:val="left" w:pos="2895"/>
        </w:tabs>
        <w:ind w:firstLine="720"/>
        <w:jc w:val="both"/>
        <w:rPr>
          <w:sz w:val="4"/>
          <w:szCs w:val="4"/>
          <w:u w:val="single"/>
        </w:rPr>
      </w:pPr>
    </w:p>
    <w:p w:rsidR="00164A4B" w:rsidRPr="008E3DF5" w:rsidRDefault="00164A4B" w:rsidP="008637DF">
      <w:pPr>
        <w:widowControl w:val="0"/>
        <w:jc w:val="both"/>
        <w:rPr>
          <w:rFonts w:asciiTheme="minorHAnsi" w:hAnsiTheme="minorHAnsi"/>
        </w:rPr>
      </w:pPr>
      <w:r w:rsidRPr="008E3DF5">
        <w:rPr>
          <w:rFonts w:asciiTheme="minorHAnsi" w:hAnsiTheme="minorHAnsi"/>
          <w:u w:val="single"/>
        </w:rPr>
        <w:t>Kūdra</w:t>
      </w:r>
      <w:r w:rsidRPr="008E3DF5">
        <w:rPr>
          <w:rFonts w:asciiTheme="minorHAnsi" w:hAnsiTheme="minorHAnsi"/>
        </w:rPr>
        <w:t>. 2012.gadā eksportētas 5488 Latvijas izcelsmes kūdras kravas ar kopējo daudzumu 219383,21t un 28694,33m³ uz 79 valstīm. Kūdras eksporta tirgus iespējas uz trešajām valstīm paplašinājās, jo ir nākušas klāt 3 jaunas saņēmējvalstis – Mongolija, Palestīna un Senegāla.</w:t>
      </w:r>
    </w:p>
    <w:p w:rsidR="00164A4B" w:rsidRPr="008E3DF5" w:rsidRDefault="00164A4B" w:rsidP="008E3DF5">
      <w:pPr>
        <w:widowControl w:val="0"/>
        <w:spacing w:before="120"/>
        <w:jc w:val="both"/>
        <w:rPr>
          <w:rFonts w:asciiTheme="minorHAnsi" w:hAnsiTheme="minorHAnsi"/>
        </w:rPr>
      </w:pPr>
      <w:r w:rsidRPr="008E3DF5">
        <w:rPr>
          <w:rFonts w:asciiTheme="minorHAnsi" w:hAnsiTheme="minorHAnsi"/>
        </w:rPr>
        <w:t xml:space="preserve">Salīdzinoši ar 2011.gadu, 2012.gadā eksportētais kūdras daudzums t palielinājās par 20% un daudzums kubikmetros samazinājās par 6%. </w:t>
      </w:r>
    </w:p>
    <w:p w:rsidR="00164A4B" w:rsidRPr="008E3DF5" w:rsidRDefault="00164A4B" w:rsidP="008E3DF5">
      <w:pPr>
        <w:widowControl w:val="0"/>
        <w:spacing w:before="120"/>
        <w:jc w:val="both"/>
        <w:rPr>
          <w:rFonts w:asciiTheme="minorHAnsi" w:hAnsiTheme="minorHAnsi"/>
        </w:rPr>
      </w:pPr>
      <w:r w:rsidRPr="008E3DF5">
        <w:rPr>
          <w:rFonts w:asciiTheme="minorHAnsi" w:hAnsiTheme="minorHAnsi"/>
        </w:rPr>
        <w:t xml:space="preserve">Visvairāk kūdras kravas eksportētas uz Turciju, kas sastāda 14% no kopējā eksportētā kūdras apjoma jeb 33984,12t. Ievērojams kūdras daudzums - 13% no kopējā eksportētā kūdras </w:t>
      </w:r>
      <w:r w:rsidRPr="008E3DF5">
        <w:rPr>
          <w:rFonts w:asciiTheme="minorHAnsi" w:hAnsiTheme="minorHAnsi"/>
        </w:rPr>
        <w:lastRenderedPageBreak/>
        <w:t>apjoma jeb 32676,21t eksportēts uz Ķīnu, 11% jeb 27629,77t uz Meksiku, 9% jeb 22041,16t uz Japānu, 7% jeb 16469,30t uz Dienvidkoreju un 7% jeb 16397,30t uz Amerikas Savienotām valstīm.</w:t>
      </w:r>
    </w:p>
    <w:p w:rsidR="008E3DF5" w:rsidRPr="008637DF" w:rsidRDefault="008E3DF5">
      <w:pPr>
        <w:rPr>
          <w:rFonts w:asciiTheme="minorHAnsi" w:hAnsiTheme="minorHAnsi"/>
          <w:i/>
          <w:color w:val="943634" w:themeColor="accent2" w:themeShade="BF"/>
          <w:sz w:val="4"/>
          <w:szCs w:val="4"/>
        </w:rPr>
      </w:pPr>
    </w:p>
    <w:p w:rsidR="00164A4B" w:rsidRPr="008E3DF5" w:rsidRDefault="008E3DF5" w:rsidP="008E3DF5">
      <w:pPr>
        <w:widowControl w:val="0"/>
        <w:tabs>
          <w:tab w:val="center" w:pos="4559"/>
        </w:tabs>
        <w:spacing w:before="120"/>
        <w:rPr>
          <w:rFonts w:asciiTheme="minorHAnsi" w:hAnsiTheme="minorHAnsi"/>
          <w:i/>
          <w:color w:val="943634" w:themeColor="accent2" w:themeShade="BF"/>
        </w:rPr>
      </w:pPr>
      <w:r w:rsidRPr="008E3DF5">
        <w:rPr>
          <w:rFonts w:asciiTheme="minorHAnsi" w:hAnsiTheme="minorHAnsi"/>
          <w:i/>
          <w:color w:val="943634" w:themeColor="accent2" w:themeShade="BF"/>
        </w:rPr>
        <w:t>Eksportētais kūdras apjoms Eksportētais kūdras apjoms 2012.gadā (%)</w:t>
      </w:r>
    </w:p>
    <w:p w:rsidR="00164A4B" w:rsidRDefault="00164A4B" w:rsidP="00961EEC">
      <w:pPr>
        <w:tabs>
          <w:tab w:val="left" w:pos="2895"/>
        </w:tabs>
      </w:pPr>
      <w:r>
        <w:rPr>
          <w:noProof/>
        </w:rPr>
        <w:drawing>
          <wp:inline distT="0" distB="0" distL="0" distR="0" wp14:anchorId="0B1685AC" wp14:editId="7A12D9DE">
            <wp:extent cx="4653643" cy="2775857"/>
            <wp:effectExtent l="19050" t="0" r="0" b="0"/>
            <wp:docPr id="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l="10543" t="18658" r="1085" b="10063"/>
                    <a:stretch>
                      <a:fillRect/>
                    </a:stretch>
                  </pic:blipFill>
                  <pic:spPr bwMode="auto">
                    <a:xfrm>
                      <a:off x="0" y="0"/>
                      <a:ext cx="4653643" cy="2775857"/>
                    </a:xfrm>
                    <a:prstGeom prst="rect">
                      <a:avLst/>
                    </a:prstGeom>
                    <a:noFill/>
                    <a:ln w="9525">
                      <a:noFill/>
                      <a:miter lim="800000"/>
                      <a:headEnd/>
                      <a:tailEnd/>
                    </a:ln>
                  </pic:spPr>
                </pic:pic>
              </a:graphicData>
            </a:graphic>
          </wp:inline>
        </w:drawing>
      </w:r>
    </w:p>
    <w:p w:rsidR="00164A4B" w:rsidRPr="008637DF" w:rsidRDefault="00164A4B" w:rsidP="00164A4B">
      <w:pPr>
        <w:tabs>
          <w:tab w:val="left" w:pos="2895"/>
        </w:tabs>
        <w:rPr>
          <w:sz w:val="4"/>
          <w:szCs w:val="4"/>
        </w:rPr>
      </w:pPr>
    </w:p>
    <w:p w:rsidR="00164A4B" w:rsidRDefault="00164A4B" w:rsidP="008E3DF5">
      <w:pPr>
        <w:widowControl w:val="0"/>
        <w:spacing w:before="120"/>
        <w:jc w:val="both"/>
        <w:rPr>
          <w:rFonts w:asciiTheme="minorHAnsi" w:hAnsiTheme="minorHAnsi"/>
        </w:rPr>
      </w:pPr>
      <w:r w:rsidRPr="008E3DF5">
        <w:rPr>
          <w:rFonts w:asciiTheme="minorHAnsi" w:hAnsiTheme="minorHAnsi"/>
        </w:rPr>
        <w:t>Laika posmā no 2010.-2012.gadam vislielākais kūdras eksporta apjoma pieaugums uz iepriekš minētajām trešajām valstīm ir novērojams 2012.gadā uz Meksiku (7 reizes), savukārt vislielākais kūdras eksporta apjoma samazinājums ir novērojams 2012.gadā uz Amerikas Savienotajām Valstīm (17%).</w:t>
      </w:r>
    </w:p>
    <w:p w:rsidR="008E3DF5" w:rsidRPr="008E3DF5" w:rsidRDefault="008E3DF5" w:rsidP="008E3DF5">
      <w:pPr>
        <w:widowControl w:val="0"/>
        <w:tabs>
          <w:tab w:val="center" w:pos="4559"/>
        </w:tabs>
        <w:spacing w:before="120"/>
        <w:rPr>
          <w:rFonts w:asciiTheme="minorHAnsi" w:hAnsiTheme="minorHAnsi"/>
        </w:rPr>
      </w:pPr>
      <w:r w:rsidRPr="008E3DF5">
        <w:rPr>
          <w:rFonts w:asciiTheme="minorHAnsi" w:hAnsiTheme="minorHAnsi"/>
          <w:i/>
          <w:color w:val="943634" w:themeColor="accent2" w:themeShade="BF"/>
        </w:rPr>
        <w:t xml:space="preserve">Eksportētais kūdras daudzums uz </w:t>
      </w:r>
      <w:r>
        <w:rPr>
          <w:rFonts w:asciiTheme="minorHAnsi" w:hAnsiTheme="minorHAnsi"/>
          <w:i/>
          <w:color w:val="943634" w:themeColor="accent2" w:themeShade="BF"/>
        </w:rPr>
        <w:t>Turciju, Ķīnu, Meksiku, Japānu, Dienvidkoreju un Amerikas Savienotajām Valstīm (2010. – 2012.gads)</w:t>
      </w:r>
    </w:p>
    <w:p w:rsidR="00164A4B" w:rsidRDefault="00164A4B" w:rsidP="00164A4B">
      <w:pPr>
        <w:tabs>
          <w:tab w:val="left" w:pos="2895"/>
        </w:tabs>
        <w:ind w:firstLine="720"/>
        <w:jc w:val="both"/>
        <w:rPr>
          <w:color w:val="000080"/>
        </w:rPr>
      </w:pPr>
      <w:r>
        <w:rPr>
          <w:color w:val="000080"/>
        </w:rPr>
        <w:t xml:space="preserve"> </w:t>
      </w:r>
    </w:p>
    <w:p w:rsidR="00164A4B" w:rsidRDefault="00164A4B" w:rsidP="00961EEC">
      <w:pPr>
        <w:tabs>
          <w:tab w:val="left" w:pos="2895"/>
        </w:tabs>
      </w:pPr>
      <w:r>
        <w:rPr>
          <w:noProof/>
        </w:rPr>
        <w:drawing>
          <wp:inline distT="0" distB="0" distL="0" distR="0" wp14:anchorId="403D174E" wp14:editId="02B3D658">
            <wp:extent cx="5135698" cy="2841171"/>
            <wp:effectExtent l="0" t="0" r="8255"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duotone>
                        <a:schemeClr val="accent3">
                          <a:shade val="45000"/>
                          <a:satMod val="135000"/>
                        </a:schemeClr>
                        <a:prstClr val="white"/>
                      </a:duotone>
                    </a:blip>
                    <a:srcRect l="1393" t="10596" r="1084" b="3646"/>
                    <a:stretch>
                      <a:fillRect/>
                    </a:stretch>
                  </pic:blipFill>
                  <pic:spPr bwMode="auto">
                    <a:xfrm>
                      <a:off x="0" y="0"/>
                      <a:ext cx="5135698" cy="2841171"/>
                    </a:xfrm>
                    <a:prstGeom prst="rect">
                      <a:avLst/>
                    </a:prstGeom>
                    <a:noFill/>
                    <a:ln w="9525">
                      <a:noFill/>
                      <a:miter lim="800000"/>
                      <a:headEnd/>
                      <a:tailEnd/>
                    </a:ln>
                  </pic:spPr>
                </pic:pic>
              </a:graphicData>
            </a:graphic>
          </wp:inline>
        </w:drawing>
      </w:r>
    </w:p>
    <w:p w:rsidR="00164A4B" w:rsidRPr="008E3DF5" w:rsidRDefault="00164A4B" w:rsidP="008637DF">
      <w:pPr>
        <w:widowControl w:val="0"/>
        <w:jc w:val="both"/>
        <w:rPr>
          <w:rFonts w:asciiTheme="minorHAnsi" w:hAnsiTheme="minorHAnsi"/>
        </w:rPr>
      </w:pPr>
      <w:r w:rsidRPr="008E3DF5">
        <w:rPr>
          <w:rFonts w:asciiTheme="minorHAnsi" w:hAnsiTheme="minorHAnsi"/>
          <w:u w:val="single"/>
        </w:rPr>
        <w:t>Stādāmais un pavairojamais materiāls</w:t>
      </w:r>
      <w:r w:rsidRPr="008E3DF5">
        <w:rPr>
          <w:rFonts w:asciiTheme="minorHAnsi" w:hAnsiTheme="minorHAnsi"/>
        </w:rPr>
        <w:t xml:space="preserve">. 2012.gadā stādāmā un pavairojamā materiāla kravas eksportēja uz 14 trešajām valstīm ar kopējo daudzumu 41170156 gabali un 547,01t un galvenokārt Latvijas, Nīderlandes, Vācijas, Polijas, Beļģijas, Ungārijas, Itālijas, Ķīnas un Amerikas Savienoto Valstu izcelsmes. </w:t>
      </w:r>
    </w:p>
    <w:p w:rsidR="00164A4B" w:rsidRPr="008E3DF5" w:rsidRDefault="00164A4B" w:rsidP="008E3DF5">
      <w:pPr>
        <w:widowControl w:val="0"/>
        <w:spacing w:before="120"/>
        <w:jc w:val="both"/>
        <w:rPr>
          <w:rFonts w:asciiTheme="minorHAnsi" w:hAnsiTheme="minorHAnsi"/>
        </w:rPr>
      </w:pPr>
      <w:r w:rsidRPr="008E3DF5">
        <w:rPr>
          <w:rFonts w:asciiTheme="minorHAnsi" w:hAnsiTheme="minorHAnsi"/>
        </w:rPr>
        <w:t xml:space="preserve">Uz trešajām valstīm eksportēja vairākus stādāmā un pavairojamā materiāla produkciju veidus </w:t>
      </w:r>
      <w:r w:rsidRPr="008E3DF5">
        <w:rPr>
          <w:rFonts w:asciiTheme="minorHAnsi" w:hAnsiTheme="minorHAnsi"/>
        </w:rPr>
        <w:lastRenderedPageBreak/>
        <w:t xml:space="preserve">- augus podos, augļu kokus (ābeles, bumbieres, ķirši, plūmes, aprikozes), dārzeņu stādus (tomātu), dekoratīvos kokus un krūmus, ogulājus, lakstaugus, </w:t>
      </w:r>
      <w:proofErr w:type="spellStart"/>
      <w:r w:rsidRPr="008E3DF5">
        <w:rPr>
          <w:rFonts w:asciiTheme="minorHAnsi" w:hAnsiTheme="minorHAnsi"/>
        </w:rPr>
        <w:t>sīksīpoliņus</w:t>
      </w:r>
      <w:proofErr w:type="spellEnd"/>
      <w:r w:rsidRPr="008E3DF5">
        <w:rPr>
          <w:rFonts w:asciiTheme="minorHAnsi" w:hAnsiTheme="minorHAnsi"/>
        </w:rPr>
        <w:t xml:space="preserve"> un sīpolus, bumbuļsīpolus, gumus, sakneņus. Ņemot vērā materiāla daudzumu gabalos, 61% jeb 25155522 gabalus eksportēja sīpolus, bumbuļsīpolus, gumus, sakneņus, 13% jeb 5424536 gabalus - augus podos, 13% jeb 5318922 gabalus - dekoratīvos kokus un krūmus, 13% jeb 5253675 gabalus – lakstaugus. Savukārt ņemot vērā materiāla daudzumu tonnās, 87% jeb 476,64t eksportēja </w:t>
      </w:r>
      <w:proofErr w:type="spellStart"/>
      <w:r w:rsidRPr="008E3DF5">
        <w:rPr>
          <w:rFonts w:asciiTheme="minorHAnsi" w:hAnsiTheme="minorHAnsi"/>
        </w:rPr>
        <w:t>sīksīpoliņus</w:t>
      </w:r>
      <w:proofErr w:type="spellEnd"/>
      <w:r w:rsidRPr="008E3DF5">
        <w:rPr>
          <w:rFonts w:asciiTheme="minorHAnsi" w:hAnsiTheme="minorHAnsi"/>
        </w:rPr>
        <w:t>, 7% jeb 39,35t - sīpolus, bumbuļsīpolus, gumus, sakneņus un 6% jeb 30,43t - dekoratīvos kokus un krūmus.</w:t>
      </w:r>
    </w:p>
    <w:p w:rsidR="00164A4B" w:rsidRDefault="00164A4B" w:rsidP="00164A4B">
      <w:pPr>
        <w:ind w:firstLine="720"/>
        <w:jc w:val="both"/>
        <w:rPr>
          <w:color w:val="000080"/>
        </w:rPr>
      </w:pPr>
    </w:p>
    <w:p w:rsidR="00164A4B" w:rsidRPr="008E3DF5" w:rsidRDefault="00164A4B" w:rsidP="008E3DF5">
      <w:pPr>
        <w:shd w:val="clear" w:color="auto" w:fill="DAEEF3" w:themeFill="accent5" w:themeFillTint="33"/>
        <w:jc w:val="both"/>
        <w:rPr>
          <w:rFonts w:asciiTheme="minorHAnsi" w:hAnsiTheme="minorHAnsi"/>
        </w:rPr>
      </w:pPr>
      <w:r w:rsidRPr="008E3DF5">
        <w:rPr>
          <w:rFonts w:asciiTheme="minorHAnsi" w:hAnsiTheme="minorHAnsi"/>
        </w:rPr>
        <w:t>2012.gadā eksportētā stādāmā un pavairojamā materiāla produkciju veidi un to daudzums</w:t>
      </w:r>
    </w:p>
    <w:p w:rsidR="00164A4B" w:rsidRPr="008637DF" w:rsidRDefault="00164A4B" w:rsidP="00164A4B">
      <w:pPr>
        <w:ind w:firstLine="720"/>
        <w:jc w:val="both"/>
        <w:rPr>
          <w:color w:val="000080"/>
          <w:sz w:val="4"/>
          <w:szCs w:val="4"/>
          <w:u w:val="single"/>
        </w:rPr>
      </w:pPr>
    </w:p>
    <w:tbl>
      <w:tblPr>
        <w:tblW w:w="8330"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5070"/>
        <w:gridCol w:w="1417"/>
        <w:gridCol w:w="1843"/>
      </w:tblGrid>
      <w:tr w:rsidR="008637DF" w:rsidRPr="008637DF" w:rsidTr="008637DF">
        <w:trPr>
          <w:trHeight w:val="255"/>
        </w:trPr>
        <w:tc>
          <w:tcPr>
            <w:tcW w:w="5070" w:type="dxa"/>
            <w:vMerge w:val="restart"/>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Produkcijas veids</w:t>
            </w:r>
          </w:p>
        </w:tc>
        <w:tc>
          <w:tcPr>
            <w:tcW w:w="3260" w:type="dxa"/>
            <w:gridSpan w:val="2"/>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Eksportētais daudzums</w:t>
            </w:r>
          </w:p>
        </w:tc>
      </w:tr>
      <w:tr w:rsidR="008637DF" w:rsidRPr="008637DF" w:rsidTr="008637DF">
        <w:trPr>
          <w:trHeight w:val="255"/>
        </w:trPr>
        <w:tc>
          <w:tcPr>
            <w:tcW w:w="5070" w:type="dxa"/>
            <w:vMerge/>
            <w:vAlign w:val="center"/>
            <w:hideMark/>
          </w:tcPr>
          <w:p w:rsidR="00164A4B" w:rsidRPr="008637DF" w:rsidRDefault="00164A4B" w:rsidP="008E3DF5">
            <w:pPr>
              <w:widowControl w:val="0"/>
              <w:spacing w:line="285" w:lineRule="auto"/>
              <w:jc w:val="center"/>
              <w:rPr>
                <w:rFonts w:asciiTheme="minorHAnsi" w:hAnsiTheme="minorHAnsi"/>
                <w:b/>
                <w:sz w:val="20"/>
                <w:szCs w:val="20"/>
              </w:rPr>
            </w:pP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gab.</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t</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Augi podos</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5424536</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Augļu koki (ābeles, bumbieres, ķirši, plūmes, aprikozes)</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17469</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Dārzeņu stādi (tomātu)</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8</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Dekoratīvie koki un krūmi</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5318922</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30,43</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Lakstaugi </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5253675</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0,06</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Ogulāji </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24</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0,53</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proofErr w:type="spellStart"/>
            <w:r w:rsidRPr="008637DF">
              <w:rPr>
                <w:rFonts w:asciiTheme="minorHAnsi" w:hAnsiTheme="minorHAnsi"/>
                <w:sz w:val="20"/>
                <w:szCs w:val="20"/>
              </w:rPr>
              <w:t>Sīksīpoliņi</w:t>
            </w:r>
            <w:proofErr w:type="spellEnd"/>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476,64</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Sīpoli, bumbuļsīpoli, gumi, sakneņi </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25155522</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sz w:val="20"/>
                <w:szCs w:val="20"/>
              </w:rPr>
            </w:pPr>
            <w:r w:rsidRPr="008637DF">
              <w:rPr>
                <w:rFonts w:asciiTheme="minorHAnsi" w:hAnsiTheme="minorHAnsi"/>
                <w:sz w:val="20"/>
                <w:szCs w:val="20"/>
              </w:rPr>
              <w:t>39,35</w:t>
            </w:r>
          </w:p>
        </w:tc>
      </w:tr>
      <w:tr w:rsidR="008637DF" w:rsidRPr="008637DF" w:rsidTr="008637DF">
        <w:trPr>
          <w:trHeight w:val="255"/>
        </w:trPr>
        <w:tc>
          <w:tcPr>
            <w:tcW w:w="5070" w:type="dxa"/>
            <w:shd w:val="clear" w:color="auto" w:fill="FFFFFF"/>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KOPĀ:</w:t>
            </w:r>
          </w:p>
        </w:tc>
        <w:tc>
          <w:tcPr>
            <w:tcW w:w="1417" w:type="dxa"/>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41170156</w:t>
            </w:r>
          </w:p>
        </w:tc>
        <w:tc>
          <w:tcPr>
            <w:tcW w:w="1843" w:type="dxa"/>
            <w:noWrap/>
            <w:vAlign w:val="bottom"/>
            <w:hideMark/>
          </w:tcPr>
          <w:p w:rsidR="00164A4B" w:rsidRPr="008637DF" w:rsidRDefault="00164A4B" w:rsidP="008E3DF5">
            <w:pPr>
              <w:widowControl w:val="0"/>
              <w:spacing w:line="285" w:lineRule="auto"/>
              <w:jc w:val="center"/>
              <w:rPr>
                <w:rFonts w:asciiTheme="minorHAnsi" w:hAnsiTheme="minorHAnsi"/>
                <w:b/>
                <w:sz w:val="20"/>
                <w:szCs w:val="20"/>
              </w:rPr>
            </w:pPr>
            <w:r w:rsidRPr="008637DF">
              <w:rPr>
                <w:rFonts w:asciiTheme="minorHAnsi" w:hAnsiTheme="minorHAnsi"/>
                <w:b/>
                <w:sz w:val="20"/>
                <w:szCs w:val="20"/>
              </w:rPr>
              <w:t>547,01</w:t>
            </w:r>
          </w:p>
        </w:tc>
      </w:tr>
    </w:tbl>
    <w:p w:rsidR="00164A4B" w:rsidRPr="008637DF" w:rsidRDefault="00164A4B" w:rsidP="00164A4B">
      <w:pPr>
        <w:jc w:val="both"/>
        <w:rPr>
          <w:bCs/>
          <w:sz w:val="10"/>
          <w:szCs w:val="10"/>
        </w:rPr>
      </w:pPr>
    </w:p>
    <w:p w:rsidR="00164A4B" w:rsidRPr="008E3DF5" w:rsidRDefault="00164A4B" w:rsidP="008637DF">
      <w:pPr>
        <w:widowControl w:val="0"/>
        <w:jc w:val="both"/>
        <w:rPr>
          <w:rFonts w:asciiTheme="minorHAnsi" w:hAnsiTheme="minorHAnsi"/>
        </w:rPr>
      </w:pPr>
      <w:r w:rsidRPr="008E3DF5">
        <w:rPr>
          <w:rFonts w:asciiTheme="minorHAnsi" w:hAnsiTheme="minorHAnsi"/>
        </w:rPr>
        <w:t>Ņemot vērā stādāmā un pavairojamā materiāla eksportēto daudzumu gabalos, 97% jeb 39929136 gabalus no kopējā eksportā daudzuma izveda uz Krievijas Federāciju. Laikā posmā no 2010.-2012.gadam, 2011.gadā novērojams straujš, par 57% eksportā daudzuma pieaugums, savukārt 2012.gadā eksportētais daudzums gabalos par 1% samazinājās.</w:t>
      </w:r>
    </w:p>
    <w:p w:rsidR="00164A4B" w:rsidRDefault="00164A4B" w:rsidP="00164A4B">
      <w:pPr>
        <w:ind w:firstLine="720"/>
        <w:jc w:val="both"/>
        <w:rPr>
          <w:color w:val="333399"/>
        </w:rPr>
      </w:pPr>
    </w:p>
    <w:p w:rsidR="008E3DF5" w:rsidRPr="008E3DF5" w:rsidRDefault="008E3DF5" w:rsidP="008637DF">
      <w:pPr>
        <w:widowControl w:val="0"/>
        <w:tabs>
          <w:tab w:val="center" w:pos="4559"/>
        </w:tabs>
        <w:rPr>
          <w:rFonts w:asciiTheme="minorHAnsi" w:hAnsiTheme="minorHAnsi"/>
          <w:i/>
          <w:color w:val="943634" w:themeColor="accent2" w:themeShade="BF"/>
        </w:rPr>
      </w:pPr>
      <w:r w:rsidRPr="008E3DF5">
        <w:rPr>
          <w:rFonts w:asciiTheme="minorHAnsi" w:hAnsiTheme="minorHAnsi"/>
          <w:i/>
          <w:color w:val="943634" w:themeColor="accent2" w:themeShade="BF"/>
        </w:rPr>
        <w:t>Stādāmā un pavairojamā materiāla daudzums gabalos uz Krievijas Federāciju (2010. – 2012.gads)</w:t>
      </w:r>
    </w:p>
    <w:p w:rsidR="00164A4B" w:rsidRDefault="00164A4B" w:rsidP="00961EEC">
      <w:pPr>
        <w:rPr>
          <w:bCs/>
          <w:color w:val="333399"/>
        </w:rPr>
      </w:pPr>
      <w:r>
        <w:rPr>
          <w:noProof/>
        </w:rPr>
        <w:drawing>
          <wp:inline distT="0" distB="0" distL="0" distR="0" wp14:anchorId="48329AA0" wp14:editId="5862CFDB">
            <wp:extent cx="4477113" cy="1771650"/>
            <wp:effectExtent l="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duotone>
                        <a:schemeClr val="accent3">
                          <a:shade val="45000"/>
                          <a:satMod val="135000"/>
                        </a:schemeClr>
                        <a:prstClr val="white"/>
                      </a:duotone>
                    </a:blip>
                    <a:srcRect l="2786" t="32759" r="1742" b="4885"/>
                    <a:stretch>
                      <a:fillRect/>
                    </a:stretch>
                  </pic:blipFill>
                  <pic:spPr bwMode="auto">
                    <a:xfrm>
                      <a:off x="0" y="0"/>
                      <a:ext cx="4477113" cy="1771650"/>
                    </a:xfrm>
                    <a:prstGeom prst="rect">
                      <a:avLst/>
                    </a:prstGeom>
                    <a:noFill/>
                    <a:ln w="9525">
                      <a:noFill/>
                      <a:miter lim="800000"/>
                      <a:headEnd/>
                      <a:tailEnd/>
                    </a:ln>
                  </pic:spPr>
                </pic:pic>
              </a:graphicData>
            </a:graphic>
          </wp:inline>
        </w:drawing>
      </w:r>
    </w:p>
    <w:p w:rsidR="00164A4B" w:rsidRDefault="00164A4B" w:rsidP="008637DF">
      <w:pPr>
        <w:widowControl w:val="0"/>
        <w:jc w:val="both"/>
        <w:rPr>
          <w:rFonts w:asciiTheme="minorHAnsi" w:hAnsiTheme="minorHAnsi"/>
        </w:rPr>
      </w:pPr>
      <w:proofErr w:type="gramStart"/>
      <w:r w:rsidRPr="008E3DF5">
        <w:rPr>
          <w:rFonts w:asciiTheme="minorHAnsi" w:hAnsiTheme="minorHAnsi"/>
        </w:rPr>
        <w:t>Savukārt,</w:t>
      </w:r>
      <w:proofErr w:type="gramEnd"/>
      <w:r w:rsidRPr="008E3DF5">
        <w:rPr>
          <w:rFonts w:asciiTheme="minorHAnsi" w:hAnsiTheme="minorHAnsi"/>
        </w:rPr>
        <w:t xml:space="preserve"> ņemot vērā stādāmā un pavairojamā materiāla eksportēto daudzumu tonnās, arī šajā gadījumā 99,6% jeb 544,98t no kopējā eksportā daudzuma izveda uz Krievijas Federāciju un laika posmā no 2010.-2012.gadam, 2011.gadā novērojams straujš eksportā daudzuma pieaugums (2 reizes) un 2012.gadā eksportētā daudzuma samazinājums (22%).</w:t>
      </w:r>
    </w:p>
    <w:p w:rsidR="008E3DF5" w:rsidRDefault="008E3DF5">
      <w:pPr>
        <w:rPr>
          <w:rFonts w:asciiTheme="minorHAnsi" w:hAnsiTheme="minorHAnsi"/>
          <w:i/>
          <w:color w:val="943634" w:themeColor="accent2" w:themeShade="BF"/>
        </w:rPr>
      </w:pPr>
      <w:r>
        <w:rPr>
          <w:rFonts w:asciiTheme="minorHAnsi" w:hAnsiTheme="minorHAnsi"/>
          <w:i/>
          <w:color w:val="943634" w:themeColor="accent2" w:themeShade="BF"/>
        </w:rPr>
        <w:br w:type="page"/>
      </w:r>
    </w:p>
    <w:p w:rsidR="004F70A6" w:rsidRPr="008E3DF5" w:rsidRDefault="008E3DF5" w:rsidP="004F70A6">
      <w:pPr>
        <w:widowControl w:val="0"/>
        <w:tabs>
          <w:tab w:val="center" w:pos="4559"/>
        </w:tabs>
        <w:spacing w:before="120"/>
        <w:rPr>
          <w:rFonts w:asciiTheme="minorHAnsi" w:hAnsiTheme="minorHAnsi"/>
          <w:i/>
          <w:color w:val="943634" w:themeColor="accent2" w:themeShade="BF"/>
        </w:rPr>
      </w:pPr>
      <w:r w:rsidRPr="008E3DF5">
        <w:rPr>
          <w:rFonts w:asciiTheme="minorHAnsi" w:hAnsiTheme="minorHAnsi"/>
          <w:i/>
          <w:color w:val="943634" w:themeColor="accent2" w:themeShade="BF"/>
        </w:rPr>
        <w:lastRenderedPageBreak/>
        <w:t>Stādāmā un pavairojamā materiāla eksportētais apjoms tonnās</w:t>
      </w:r>
      <w:r w:rsidR="004F70A6">
        <w:rPr>
          <w:rFonts w:asciiTheme="minorHAnsi" w:hAnsiTheme="minorHAnsi"/>
          <w:i/>
          <w:color w:val="943634" w:themeColor="accent2" w:themeShade="BF"/>
        </w:rPr>
        <w:t xml:space="preserve"> </w:t>
      </w:r>
      <w:r w:rsidR="004F70A6" w:rsidRPr="008E3DF5">
        <w:rPr>
          <w:rFonts w:asciiTheme="minorHAnsi" w:hAnsiTheme="minorHAnsi"/>
          <w:i/>
          <w:color w:val="943634" w:themeColor="accent2" w:themeShade="BF"/>
        </w:rPr>
        <w:t>uz Krievijas Federāciju (2010. – 2012.gads)</w:t>
      </w:r>
    </w:p>
    <w:p w:rsidR="00164A4B" w:rsidRDefault="00164A4B" w:rsidP="00961EEC">
      <w:pPr>
        <w:rPr>
          <w:bCs/>
          <w:color w:val="000000"/>
        </w:rPr>
      </w:pPr>
      <w:r>
        <w:rPr>
          <w:noProof/>
        </w:rPr>
        <w:drawing>
          <wp:inline distT="0" distB="0" distL="0" distR="0" wp14:anchorId="61CCEC55" wp14:editId="0D9368AD">
            <wp:extent cx="4417216" cy="1812472"/>
            <wp:effectExtent l="0" t="0" r="2540" b="0"/>
            <wp:docPr id="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duotone>
                        <a:schemeClr val="accent3">
                          <a:shade val="45000"/>
                          <a:satMod val="135000"/>
                        </a:schemeClr>
                        <a:prstClr val="white"/>
                      </a:duotone>
                    </a:blip>
                    <a:srcRect l="2091" t="27114" r="3595" b="8120"/>
                    <a:stretch>
                      <a:fillRect/>
                    </a:stretch>
                  </pic:blipFill>
                  <pic:spPr bwMode="auto">
                    <a:xfrm>
                      <a:off x="0" y="0"/>
                      <a:ext cx="4417216" cy="1812472"/>
                    </a:xfrm>
                    <a:prstGeom prst="rect">
                      <a:avLst/>
                    </a:prstGeom>
                    <a:noFill/>
                    <a:ln w="9525">
                      <a:noFill/>
                      <a:miter lim="800000"/>
                      <a:headEnd/>
                      <a:tailEnd/>
                    </a:ln>
                  </pic:spPr>
                </pic:pic>
              </a:graphicData>
            </a:graphic>
          </wp:inline>
        </w:drawing>
      </w:r>
    </w:p>
    <w:p w:rsidR="00164A4B" w:rsidRPr="004F70A6" w:rsidRDefault="00164A4B" w:rsidP="004F70A6">
      <w:pPr>
        <w:widowControl w:val="0"/>
        <w:spacing w:before="120"/>
        <w:jc w:val="both"/>
        <w:rPr>
          <w:rFonts w:asciiTheme="minorHAnsi" w:hAnsiTheme="minorHAnsi"/>
        </w:rPr>
      </w:pPr>
      <w:r w:rsidRPr="004F70A6">
        <w:rPr>
          <w:rFonts w:asciiTheme="minorHAnsi" w:hAnsiTheme="minorHAnsi"/>
          <w:u w:val="single"/>
        </w:rPr>
        <w:t>Koksne un kokmateriāli</w:t>
      </w:r>
      <w:r w:rsidRPr="004F70A6">
        <w:rPr>
          <w:rFonts w:asciiTheme="minorHAnsi" w:hAnsiTheme="minorHAnsi"/>
        </w:rPr>
        <w:t>. 2012.gadā eksportēja 915039,20 m3 koksnes (bērzu finierklučus, dēļus no tropisko koku šķirnēm, malku, zāģbaļķus un zāģmateriālus), 451,68t skaidas un šķeldu un 8287 gabalus mietu un zāģmateriālu dēļus uz 39 trešajām valstīm. Kokmateriālu eksporta tirgus iespējas uz trešajām valstīm 2012.gadā paplašinājās, jo ir nākusi klāt viena jauna saņēmējvalstis Madagaskara, uz kuru tika eksportēti priežu zāģmateriāli.</w:t>
      </w:r>
    </w:p>
    <w:p w:rsidR="00164A4B" w:rsidRDefault="00164A4B" w:rsidP="00164A4B">
      <w:pPr>
        <w:ind w:firstLine="720"/>
        <w:jc w:val="both"/>
        <w:rPr>
          <w:color w:val="000000"/>
        </w:rPr>
      </w:pPr>
    </w:p>
    <w:p w:rsidR="00164A4B" w:rsidRPr="004F70A6" w:rsidRDefault="00164A4B" w:rsidP="004F70A6">
      <w:pPr>
        <w:shd w:val="clear" w:color="auto" w:fill="DAEEF3" w:themeFill="accent5" w:themeFillTint="33"/>
        <w:jc w:val="both"/>
        <w:rPr>
          <w:rFonts w:asciiTheme="minorHAnsi" w:hAnsiTheme="minorHAnsi"/>
        </w:rPr>
      </w:pPr>
      <w:r w:rsidRPr="004F70A6">
        <w:rPr>
          <w:rFonts w:asciiTheme="minorHAnsi" w:hAnsiTheme="minorHAnsi"/>
        </w:rPr>
        <w:t>Eksportētā koksnes produkcija uz trešajām valstīm</w:t>
      </w:r>
    </w:p>
    <w:p w:rsidR="00164A4B" w:rsidRDefault="00164A4B" w:rsidP="00164A4B">
      <w:pPr>
        <w:ind w:left="720" w:hanging="375"/>
        <w:rPr>
          <w:color w:val="000080"/>
          <w:u w:val="single"/>
        </w:rPr>
      </w:pPr>
    </w:p>
    <w:tbl>
      <w:tblPr>
        <w:tblW w:w="8526" w:type="dxa"/>
        <w:jc w:val="center"/>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4788"/>
        <w:gridCol w:w="1236"/>
        <w:gridCol w:w="1242"/>
        <w:gridCol w:w="1260"/>
      </w:tblGrid>
      <w:tr w:rsidR="00164A4B" w:rsidRPr="008637DF" w:rsidTr="004F70A6">
        <w:trPr>
          <w:jc w:val="center"/>
        </w:trPr>
        <w:tc>
          <w:tcPr>
            <w:tcW w:w="4788" w:type="dxa"/>
            <w:vMerge w:val="restart"/>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Produkcijas veids</w:t>
            </w:r>
          </w:p>
        </w:tc>
        <w:tc>
          <w:tcPr>
            <w:tcW w:w="3738" w:type="dxa"/>
            <w:gridSpan w:val="3"/>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Eksportētais daudzums</w:t>
            </w:r>
          </w:p>
        </w:tc>
      </w:tr>
      <w:tr w:rsidR="00164A4B" w:rsidRPr="008637DF" w:rsidTr="004F70A6">
        <w:trPr>
          <w:jc w:val="center"/>
        </w:trPr>
        <w:tc>
          <w:tcPr>
            <w:tcW w:w="0" w:type="auto"/>
            <w:vMerge/>
            <w:vAlign w:val="center"/>
            <w:hideMark/>
          </w:tcPr>
          <w:p w:rsidR="00164A4B" w:rsidRPr="008637DF" w:rsidRDefault="00164A4B" w:rsidP="004F70A6">
            <w:pPr>
              <w:widowControl w:val="0"/>
              <w:spacing w:line="285" w:lineRule="auto"/>
              <w:jc w:val="center"/>
              <w:rPr>
                <w:rFonts w:asciiTheme="minorHAnsi" w:hAnsiTheme="minorHAnsi"/>
                <w:b/>
                <w:sz w:val="20"/>
                <w:szCs w:val="20"/>
              </w:rPr>
            </w:pPr>
          </w:p>
        </w:tc>
        <w:tc>
          <w:tcPr>
            <w:tcW w:w="1236"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m</w:t>
            </w:r>
            <w:r w:rsidRPr="008637DF">
              <w:rPr>
                <w:rFonts w:asciiTheme="minorHAnsi" w:hAnsiTheme="minorHAnsi"/>
                <w:b/>
                <w:sz w:val="20"/>
                <w:szCs w:val="20"/>
                <w:vertAlign w:val="superscript"/>
              </w:rPr>
              <w:t>3</w:t>
            </w:r>
          </w:p>
        </w:tc>
        <w:tc>
          <w:tcPr>
            <w:tcW w:w="1242"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t</w:t>
            </w:r>
          </w:p>
        </w:tc>
        <w:tc>
          <w:tcPr>
            <w:tcW w:w="1260"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gab.</w:t>
            </w: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Bērzu finierkluči</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5126,89</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Dēļi no tropisko koku šķirnēm</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191,82</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Malka (bērzu, ozolu, alkšņu, ošu koksnes)</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481,16</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Mieti (priežu koksnes)</w:t>
            </w:r>
          </w:p>
        </w:tc>
        <w:tc>
          <w:tcPr>
            <w:tcW w:w="1236" w:type="dxa"/>
          </w:tcPr>
          <w:p w:rsidR="00164A4B" w:rsidRPr="008637DF" w:rsidRDefault="00164A4B" w:rsidP="004F70A6">
            <w:pPr>
              <w:widowControl w:val="0"/>
              <w:spacing w:line="285" w:lineRule="auto"/>
              <w:jc w:val="center"/>
              <w:rPr>
                <w:rFonts w:asciiTheme="minorHAnsi" w:hAnsiTheme="minorHAnsi"/>
                <w:sz w:val="20"/>
                <w:szCs w:val="20"/>
              </w:rPr>
            </w:pP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165</w:t>
            </w: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Skaidas</w:t>
            </w:r>
          </w:p>
        </w:tc>
        <w:tc>
          <w:tcPr>
            <w:tcW w:w="1236" w:type="dxa"/>
          </w:tcPr>
          <w:p w:rsidR="00164A4B" w:rsidRPr="008637DF" w:rsidRDefault="00164A4B" w:rsidP="004F70A6">
            <w:pPr>
              <w:widowControl w:val="0"/>
              <w:spacing w:line="285" w:lineRule="auto"/>
              <w:jc w:val="center"/>
              <w:rPr>
                <w:rFonts w:asciiTheme="minorHAnsi" w:hAnsiTheme="minorHAnsi"/>
                <w:sz w:val="20"/>
                <w:szCs w:val="20"/>
              </w:rPr>
            </w:pPr>
          </w:p>
        </w:tc>
        <w:tc>
          <w:tcPr>
            <w:tcW w:w="1242"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0,02</w:t>
            </w: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Šķelda</w:t>
            </w:r>
          </w:p>
        </w:tc>
        <w:tc>
          <w:tcPr>
            <w:tcW w:w="1236" w:type="dxa"/>
          </w:tcPr>
          <w:p w:rsidR="00164A4B" w:rsidRPr="008637DF" w:rsidRDefault="00164A4B" w:rsidP="004F70A6">
            <w:pPr>
              <w:widowControl w:val="0"/>
              <w:spacing w:line="285" w:lineRule="auto"/>
              <w:jc w:val="center"/>
              <w:rPr>
                <w:rFonts w:asciiTheme="minorHAnsi" w:hAnsiTheme="minorHAnsi"/>
                <w:sz w:val="20"/>
                <w:szCs w:val="20"/>
              </w:rPr>
            </w:pPr>
          </w:p>
        </w:tc>
        <w:tc>
          <w:tcPr>
            <w:tcW w:w="1242"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451,67</w:t>
            </w: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Zāģbaļķi, mizoti (bērzu, egļu koksnes)</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2416,01</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Zāģbaļķi, nemizoti (bērzu, egļu, priežu koksnes)</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98831,93</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tcPr>
          <w:p w:rsidR="00164A4B" w:rsidRPr="008637DF" w:rsidRDefault="00164A4B" w:rsidP="004F70A6">
            <w:pPr>
              <w:widowControl w:val="0"/>
              <w:spacing w:line="285" w:lineRule="auto"/>
              <w:jc w:val="center"/>
              <w:rPr>
                <w:rFonts w:asciiTheme="minorHAnsi" w:hAnsiTheme="minorHAnsi"/>
                <w:sz w:val="20"/>
                <w:szCs w:val="20"/>
              </w:rPr>
            </w:pP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Zāģmateriāli, žāvēti (bērzu, priežu, egļu, alkšņu, apšu koksnes)</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452713,39</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50</w:t>
            </w: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sz w:val="20"/>
                <w:szCs w:val="20"/>
              </w:rPr>
            </w:pPr>
            <w:r w:rsidRPr="008637DF">
              <w:rPr>
                <w:rFonts w:asciiTheme="minorHAnsi" w:hAnsiTheme="minorHAnsi"/>
                <w:sz w:val="20"/>
                <w:szCs w:val="20"/>
              </w:rPr>
              <w:t>Zāģmateriāli, nežāvēti (lapegļu, egļu, priežu, bērzu, ošu, apšu, ozolu koksnes)</w:t>
            </w:r>
          </w:p>
        </w:tc>
        <w:tc>
          <w:tcPr>
            <w:tcW w:w="1236"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355278,00</w:t>
            </w:r>
          </w:p>
        </w:tc>
        <w:tc>
          <w:tcPr>
            <w:tcW w:w="1242" w:type="dxa"/>
          </w:tcPr>
          <w:p w:rsidR="00164A4B" w:rsidRPr="008637DF" w:rsidRDefault="00164A4B" w:rsidP="004F70A6">
            <w:pPr>
              <w:widowControl w:val="0"/>
              <w:spacing w:line="285" w:lineRule="auto"/>
              <w:jc w:val="center"/>
              <w:rPr>
                <w:rFonts w:asciiTheme="minorHAnsi" w:hAnsiTheme="minorHAnsi"/>
                <w:sz w:val="20"/>
                <w:szCs w:val="20"/>
              </w:rPr>
            </w:pPr>
          </w:p>
        </w:tc>
        <w:tc>
          <w:tcPr>
            <w:tcW w:w="1260" w:type="dxa"/>
            <w:hideMark/>
          </w:tcPr>
          <w:p w:rsidR="00164A4B" w:rsidRPr="008637DF" w:rsidRDefault="00164A4B" w:rsidP="004F70A6">
            <w:pPr>
              <w:widowControl w:val="0"/>
              <w:spacing w:line="285" w:lineRule="auto"/>
              <w:jc w:val="center"/>
              <w:rPr>
                <w:rFonts w:asciiTheme="minorHAnsi" w:hAnsiTheme="minorHAnsi"/>
                <w:sz w:val="20"/>
                <w:szCs w:val="20"/>
              </w:rPr>
            </w:pPr>
            <w:r w:rsidRPr="008637DF">
              <w:rPr>
                <w:rFonts w:asciiTheme="minorHAnsi" w:hAnsiTheme="minorHAnsi"/>
                <w:sz w:val="20"/>
                <w:szCs w:val="20"/>
              </w:rPr>
              <w:t>8072</w:t>
            </w:r>
          </w:p>
        </w:tc>
      </w:tr>
      <w:tr w:rsidR="00164A4B" w:rsidRPr="008637DF" w:rsidTr="004F70A6">
        <w:trPr>
          <w:jc w:val="center"/>
        </w:trPr>
        <w:tc>
          <w:tcPr>
            <w:tcW w:w="4788" w:type="dxa"/>
            <w:hideMark/>
          </w:tcPr>
          <w:p w:rsidR="00164A4B" w:rsidRPr="008637DF" w:rsidRDefault="00164A4B" w:rsidP="004F70A6">
            <w:pPr>
              <w:widowControl w:val="0"/>
              <w:spacing w:line="285" w:lineRule="auto"/>
              <w:rPr>
                <w:rFonts w:asciiTheme="minorHAnsi" w:hAnsiTheme="minorHAnsi"/>
                <w:b/>
                <w:sz w:val="20"/>
                <w:szCs w:val="20"/>
              </w:rPr>
            </w:pPr>
            <w:r w:rsidRPr="008637DF">
              <w:rPr>
                <w:rFonts w:asciiTheme="minorHAnsi" w:hAnsiTheme="minorHAnsi"/>
                <w:b/>
                <w:sz w:val="20"/>
                <w:szCs w:val="20"/>
              </w:rPr>
              <w:t>Kopā:</w:t>
            </w:r>
          </w:p>
        </w:tc>
        <w:tc>
          <w:tcPr>
            <w:tcW w:w="1236"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915039,20</w:t>
            </w:r>
          </w:p>
        </w:tc>
        <w:tc>
          <w:tcPr>
            <w:tcW w:w="1242"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451,69</w:t>
            </w:r>
          </w:p>
        </w:tc>
        <w:tc>
          <w:tcPr>
            <w:tcW w:w="1260" w:type="dxa"/>
            <w:hideMark/>
          </w:tcPr>
          <w:p w:rsidR="00164A4B" w:rsidRPr="008637DF" w:rsidRDefault="00164A4B" w:rsidP="004F70A6">
            <w:pPr>
              <w:widowControl w:val="0"/>
              <w:spacing w:line="285" w:lineRule="auto"/>
              <w:jc w:val="center"/>
              <w:rPr>
                <w:rFonts w:asciiTheme="minorHAnsi" w:hAnsiTheme="minorHAnsi"/>
                <w:b/>
                <w:sz w:val="20"/>
                <w:szCs w:val="20"/>
              </w:rPr>
            </w:pPr>
            <w:r w:rsidRPr="008637DF">
              <w:rPr>
                <w:rFonts w:asciiTheme="minorHAnsi" w:hAnsiTheme="minorHAnsi"/>
                <w:b/>
                <w:sz w:val="20"/>
                <w:szCs w:val="20"/>
              </w:rPr>
              <w:t>8287</w:t>
            </w:r>
          </w:p>
        </w:tc>
      </w:tr>
    </w:tbl>
    <w:p w:rsidR="00164A4B" w:rsidRDefault="00164A4B" w:rsidP="00164A4B">
      <w:pPr>
        <w:rPr>
          <w:color w:val="000000"/>
          <w:u w:val="single"/>
        </w:rPr>
      </w:pPr>
    </w:p>
    <w:p w:rsidR="00164A4B" w:rsidRPr="004F70A6" w:rsidRDefault="00164A4B" w:rsidP="004F70A6">
      <w:pPr>
        <w:widowControl w:val="0"/>
        <w:spacing w:before="120"/>
        <w:jc w:val="both"/>
        <w:rPr>
          <w:rFonts w:asciiTheme="minorHAnsi" w:hAnsiTheme="minorHAnsi"/>
        </w:rPr>
      </w:pPr>
      <w:r w:rsidRPr="004F70A6">
        <w:rPr>
          <w:rFonts w:asciiTheme="minorHAnsi" w:hAnsiTheme="minorHAnsi"/>
        </w:rPr>
        <w:t>Apskatot eksportētos koksnes produkciju veidus un to daudzumus kubikmetros, no tiem 49% jeb 452713,39m</w:t>
      </w:r>
      <w:r w:rsidRPr="004F70A6">
        <w:rPr>
          <w:rFonts w:asciiTheme="minorHAnsi" w:hAnsiTheme="minorHAnsi"/>
          <w:vertAlign w:val="superscript"/>
        </w:rPr>
        <w:t>3</w:t>
      </w:r>
      <w:r w:rsidRPr="004F70A6">
        <w:rPr>
          <w:rFonts w:asciiTheme="minorHAnsi" w:hAnsiTheme="minorHAnsi"/>
        </w:rPr>
        <w:t xml:space="preserve"> no kopējā daudzuma eksportēja žāvētus bērzu, priežu, egļu, alkšņu un apšu koksnes zāģmateriālus, 39% jeb 355278,00m3 nežāvētus lapegļu, egļu, priežu, bērzu, ošu, apšu, ozolu koksnes zāģmateriālus, 11% jeb 98831,93 m3 nemizotus bērzu, egļu un priežu koksnes zāģbaļķus.</w:t>
      </w:r>
    </w:p>
    <w:p w:rsidR="00164A4B" w:rsidRPr="004F70A6" w:rsidRDefault="00164A4B" w:rsidP="004F70A6">
      <w:pPr>
        <w:widowControl w:val="0"/>
        <w:tabs>
          <w:tab w:val="center" w:pos="4559"/>
        </w:tabs>
        <w:spacing w:before="120"/>
        <w:rPr>
          <w:rFonts w:asciiTheme="minorHAnsi" w:hAnsiTheme="minorHAnsi"/>
          <w:i/>
          <w:color w:val="943634" w:themeColor="accent2" w:themeShade="BF"/>
        </w:rPr>
      </w:pPr>
    </w:p>
    <w:p w:rsidR="004F70A6" w:rsidRDefault="004F70A6">
      <w:pPr>
        <w:rPr>
          <w:rFonts w:asciiTheme="minorHAnsi" w:hAnsiTheme="minorHAnsi"/>
          <w:i/>
          <w:color w:val="943634" w:themeColor="accent2" w:themeShade="BF"/>
        </w:rPr>
      </w:pPr>
      <w:r>
        <w:rPr>
          <w:rFonts w:asciiTheme="minorHAnsi" w:hAnsiTheme="minorHAnsi"/>
          <w:i/>
          <w:color w:val="943634" w:themeColor="accent2" w:themeShade="BF"/>
        </w:rPr>
        <w:br w:type="page"/>
      </w:r>
    </w:p>
    <w:p w:rsidR="004F70A6" w:rsidRPr="004F70A6" w:rsidRDefault="004F70A6" w:rsidP="004F70A6">
      <w:pPr>
        <w:widowControl w:val="0"/>
        <w:tabs>
          <w:tab w:val="center" w:pos="4559"/>
        </w:tabs>
        <w:spacing w:before="120"/>
        <w:rPr>
          <w:rFonts w:asciiTheme="minorHAnsi" w:hAnsiTheme="minorHAnsi"/>
          <w:i/>
          <w:color w:val="943634" w:themeColor="accent2" w:themeShade="BF"/>
        </w:rPr>
      </w:pPr>
      <w:r w:rsidRPr="004F70A6">
        <w:rPr>
          <w:rFonts w:asciiTheme="minorHAnsi" w:hAnsiTheme="minorHAnsi"/>
          <w:i/>
          <w:color w:val="943634" w:themeColor="accent2" w:themeShade="BF"/>
        </w:rPr>
        <w:lastRenderedPageBreak/>
        <w:t>Eksportētā koksnes produkcija</w:t>
      </w:r>
      <w:r>
        <w:rPr>
          <w:rFonts w:asciiTheme="minorHAnsi" w:hAnsiTheme="minorHAnsi"/>
          <w:i/>
          <w:color w:val="943634" w:themeColor="accent2" w:themeShade="BF"/>
        </w:rPr>
        <w:t xml:space="preserve"> m</w:t>
      </w:r>
      <w:r w:rsidRPr="004F70A6">
        <w:rPr>
          <w:rFonts w:asciiTheme="minorHAnsi" w:hAnsiTheme="minorHAnsi"/>
          <w:i/>
          <w:color w:val="943634" w:themeColor="accent2" w:themeShade="BF"/>
          <w:vertAlign w:val="superscript"/>
        </w:rPr>
        <w:t>3</w:t>
      </w:r>
    </w:p>
    <w:p w:rsidR="00164A4B" w:rsidRDefault="00164A4B" w:rsidP="00961EEC">
      <w:pPr>
        <w:rPr>
          <w:color w:val="333399"/>
        </w:rPr>
      </w:pPr>
      <w:r>
        <w:rPr>
          <w:noProof/>
        </w:rPr>
        <w:drawing>
          <wp:inline distT="0" distB="0" distL="0" distR="0" wp14:anchorId="6B23689F" wp14:editId="4871894F">
            <wp:extent cx="4276034" cy="1991762"/>
            <wp:effectExtent l="0" t="0" r="0" b="8890"/>
            <wp:docPr id="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duotone>
                        <a:schemeClr val="accent3">
                          <a:shade val="45000"/>
                          <a:satMod val="135000"/>
                        </a:schemeClr>
                        <a:prstClr val="white"/>
                      </a:duotone>
                    </a:blip>
                    <a:srcRect l="1849" t="13239" r="4415" b="7283"/>
                    <a:stretch>
                      <a:fillRect/>
                    </a:stretch>
                  </pic:blipFill>
                  <pic:spPr bwMode="auto">
                    <a:xfrm>
                      <a:off x="0" y="0"/>
                      <a:ext cx="4285621" cy="1996228"/>
                    </a:xfrm>
                    <a:prstGeom prst="rect">
                      <a:avLst/>
                    </a:prstGeom>
                    <a:noFill/>
                    <a:ln w="9525">
                      <a:noFill/>
                      <a:miter lim="800000"/>
                      <a:headEnd/>
                      <a:tailEnd/>
                    </a:ln>
                  </pic:spPr>
                </pic:pic>
              </a:graphicData>
            </a:graphic>
          </wp:inline>
        </w:drawing>
      </w:r>
    </w:p>
    <w:p w:rsidR="00164A4B" w:rsidRDefault="00164A4B" w:rsidP="00432783">
      <w:pPr>
        <w:widowControl w:val="0"/>
        <w:spacing w:before="120"/>
        <w:jc w:val="both"/>
        <w:rPr>
          <w:rFonts w:asciiTheme="minorHAnsi" w:hAnsiTheme="minorHAnsi"/>
        </w:rPr>
      </w:pPr>
      <w:r w:rsidRPr="00432783">
        <w:rPr>
          <w:rFonts w:asciiTheme="minorHAnsi" w:hAnsiTheme="minorHAnsi"/>
        </w:rPr>
        <w:t>Apskatot eksportēto koksnes produkciju pa valstīm, 50% jeb 455125,79 m</w:t>
      </w:r>
      <w:r w:rsidRPr="00432783">
        <w:rPr>
          <w:rFonts w:asciiTheme="minorHAnsi" w:hAnsiTheme="minorHAnsi"/>
          <w:vertAlign w:val="superscript"/>
        </w:rPr>
        <w:t>3</w:t>
      </w:r>
      <w:r w:rsidRPr="00432783">
        <w:rPr>
          <w:rFonts w:asciiTheme="minorHAnsi" w:hAnsiTheme="minorHAnsi"/>
        </w:rPr>
        <w:t xml:space="preserve"> koksnes no kopējā eksportētā daudzuma eksportēja uz Ēģipti, 13% jeb 118214,47 m3 uz Ķīnu, 10% jeb 91827,15 m3 uz Izraēlu un 10% jeb 91519,10 m</w:t>
      </w:r>
      <w:r w:rsidRPr="00432783">
        <w:rPr>
          <w:rFonts w:asciiTheme="minorHAnsi" w:hAnsiTheme="minorHAnsi"/>
          <w:vertAlign w:val="superscript"/>
        </w:rPr>
        <w:t>3</w:t>
      </w:r>
      <w:r w:rsidRPr="00432783">
        <w:rPr>
          <w:rFonts w:asciiTheme="minorHAnsi" w:hAnsiTheme="minorHAnsi"/>
        </w:rPr>
        <w:t xml:space="preserve"> uz Japānu.</w:t>
      </w:r>
    </w:p>
    <w:p w:rsidR="00432783" w:rsidRPr="00432783" w:rsidRDefault="00432783" w:rsidP="00432783">
      <w:pPr>
        <w:widowControl w:val="0"/>
        <w:tabs>
          <w:tab w:val="center" w:pos="4559"/>
        </w:tabs>
        <w:spacing w:before="120"/>
        <w:rPr>
          <w:rFonts w:asciiTheme="minorHAnsi" w:hAnsiTheme="minorHAnsi"/>
          <w:i/>
          <w:color w:val="943634" w:themeColor="accent2" w:themeShade="BF"/>
        </w:rPr>
      </w:pPr>
      <w:r w:rsidRPr="00432783">
        <w:rPr>
          <w:rFonts w:asciiTheme="minorHAnsi" w:hAnsiTheme="minorHAnsi"/>
          <w:i/>
          <w:color w:val="943634" w:themeColor="accent2" w:themeShade="BF"/>
        </w:rPr>
        <w:t>Trešās valstis, uz kurām 2012.gadā eksportēta koksne</w:t>
      </w:r>
      <w:r>
        <w:rPr>
          <w:rFonts w:asciiTheme="minorHAnsi" w:hAnsiTheme="minorHAnsi"/>
          <w:i/>
          <w:color w:val="943634" w:themeColor="accent2" w:themeShade="BF"/>
        </w:rPr>
        <w:t>s kravas m</w:t>
      </w:r>
      <w:r w:rsidRPr="00432783">
        <w:rPr>
          <w:rFonts w:asciiTheme="minorHAnsi" w:hAnsiTheme="minorHAnsi"/>
          <w:i/>
          <w:color w:val="943634" w:themeColor="accent2" w:themeShade="BF"/>
          <w:vertAlign w:val="superscript"/>
        </w:rPr>
        <w:t>3</w:t>
      </w:r>
    </w:p>
    <w:p w:rsidR="00164A4B" w:rsidRDefault="00164A4B" w:rsidP="00961EEC">
      <w:pPr>
        <w:rPr>
          <w:color w:val="000000"/>
        </w:rPr>
      </w:pPr>
      <w:r>
        <w:rPr>
          <w:noProof/>
        </w:rPr>
        <w:drawing>
          <wp:anchor distT="0" distB="0" distL="114300" distR="114300" simplePos="0" relativeHeight="251722752" behindDoc="0" locked="0" layoutInCell="1" allowOverlap="1" wp14:anchorId="46AD649B" wp14:editId="04F95E09">
            <wp:simplePos x="0" y="0"/>
            <wp:positionH relativeFrom="column">
              <wp:align>left</wp:align>
            </wp:positionH>
            <wp:positionV relativeFrom="paragraph">
              <wp:align>top</wp:align>
            </wp:positionV>
            <wp:extent cx="4702175" cy="3056255"/>
            <wp:effectExtent l="0" t="0" r="0" b="0"/>
            <wp:wrapSquare wrapText="bothSides"/>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766" t="14955" r="1026" b="1562"/>
                    <a:stretch/>
                  </pic:blipFill>
                  <pic:spPr bwMode="auto">
                    <a:xfrm>
                      <a:off x="0" y="0"/>
                      <a:ext cx="4702175" cy="3056255"/>
                    </a:xfrm>
                    <a:prstGeom prst="rect">
                      <a:avLst/>
                    </a:prstGeom>
                    <a:noFill/>
                    <a:ln>
                      <a:noFill/>
                    </a:ln>
                    <a:extLst>
                      <a:ext uri="{53640926-AAD7-44D8-BBD7-CCE9431645EC}">
                        <a14:shadowObscured xmlns:a14="http://schemas.microsoft.com/office/drawing/2010/main"/>
                      </a:ext>
                    </a:extLst>
                  </pic:spPr>
                </pic:pic>
              </a:graphicData>
            </a:graphic>
          </wp:anchor>
        </w:drawing>
      </w:r>
      <w:r w:rsidR="00961EEC">
        <w:rPr>
          <w:color w:val="000000"/>
        </w:rPr>
        <w:br w:type="textWrapping" w:clear="all"/>
      </w:r>
    </w:p>
    <w:p w:rsidR="00164A4B" w:rsidRDefault="00164A4B" w:rsidP="00432783">
      <w:pPr>
        <w:widowControl w:val="0"/>
        <w:spacing w:before="120"/>
        <w:jc w:val="both"/>
        <w:rPr>
          <w:rFonts w:asciiTheme="minorHAnsi" w:hAnsiTheme="minorHAnsi"/>
        </w:rPr>
      </w:pPr>
      <w:r w:rsidRPr="00432783">
        <w:rPr>
          <w:rFonts w:asciiTheme="minorHAnsi" w:hAnsiTheme="minorHAnsi"/>
        </w:rPr>
        <w:t>Laika posmā no 2010.-2012.gadam novērojams, ka eksportētais koksnes apjoms kubikmetros uz Ēģipti, Ķīnu, Izraēlu un Japānu ir mainīgs. Vislielākais eksporta apjoma pieaugums un samazinājums vērojams 2012.gadā – attiecīgi uz Ēģipti par 34% un uz Japānu par 17%.</w:t>
      </w: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8637DF" w:rsidRDefault="008637DF" w:rsidP="00432783">
      <w:pPr>
        <w:widowControl w:val="0"/>
        <w:tabs>
          <w:tab w:val="center" w:pos="4559"/>
        </w:tabs>
        <w:spacing w:before="120"/>
        <w:rPr>
          <w:rFonts w:asciiTheme="minorHAnsi" w:hAnsiTheme="minorHAnsi"/>
          <w:i/>
          <w:color w:val="943634" w:themeColor="accent2" w:themeShade="BF"/>
        </w:rPr>
      </w:pPr>
    </w:p>
    <w:p w:rsidR="00432783" w:rsidRPr="00432783" w:rsidRDefault="00432783" w:rsidP="00432783">
      <w:pPr>
        <w:widowControl w:val="0"/>
        <w:tabs>
          <w:tab w:val="center" w:pos="4559"/>
        </w:tabs>
        <w:spacing w:before="120"/>
        <w:rPr>
          <w:rFonts w:asciiTheme="minorHAnsi" w:hAnsiTheme="minorHAnsi"/>
          <w:i/>
          <w:color w:val="943634" w:themeColor="accent2" w:themeShade="BF"/>
        </w:rPr>
      </w:pPr>
      <w:r w:rsidRPr="00432783">
        <w:rPr>
          <w:rFonts w:asciiTheme="minorHAnsi" w:hAnsiTheme="minorHAnsi"/>
          <w:i/>
          <w:color w:val="943634" w:themeColor="accent2" w:themeShade="BF"/>
        </w:rPr>
        <w:lastRenderedPageBreak/>
        <w:t xml:space="preserve">Eksportētās koksnes daudzums uz </w:t>
      </w:r>
      <w:r>
        <w:rPr>
          <w:rFonts w:asciiTheme="minorHAnsi" w:hAnsiTheme="minorHAnsi"/>
          <w:i/>
          <w:color w:val="943634" w:themeColor="accent2" w:themeShade="BF"/>
        </w:rPr>
        <w:t>Ēģipti, Ķīnu, Izraēlu un Japānu (2010. – 2012.gads) (m</w:t>
      </w:r>
      <w:r w:rsidRPr="00432783">
        <w:rPr>
          <w:rFonts w:asciiTheme="minorHAnsi" w:hAnsiTheme="minorHAnsi"/>
          <w:i/>
          <w:color w:val="943634" w:themeColor="accent2" w:themeShade="BF"/>
          <w:vertAlign w:val="superscript"/>
        </w:rPr>
        <w:t>3</w:t>
      </w:r>
      <w:r>
        <w:rPr>
          <w:rFonts w:asciiTheme="minorHAnsi" w:hAnsiTheme="minorHAnsi"/>
          <w:i/>
          <w:color w:val="943634" w:themeColor="accent2" w:themeShade="BF"/>
        </w:rPr>
        <w:t>)</w:t>
      </w:r>
    </w:p>
    <w:p w:rsidR="00164A4B" w:rsidRDefault="000D1C03" w:rsidP="00164A4B">
      <w:pPr>
        <w:jc w:val="both"/>
        <w:rPr>
          <w:color w:val="000000"/>
        </w:rPr>
      </w:pPr>
      <w:r>
        <w:rPr>
          <w:noProof/>
        </w:rPr>
        <mc:AlternateContent>
          <mc:Choice Requires="wps">
            <w:drawing>
              <wp:anchor distT="0" distB="0" distL="114300" distR="114300" simplePos="0" relativeHeight="251727872" behindDoc="0" locked="0" layoutInCell="1" allowOverlap="1" wp14:anchorId="6D993CEF" wp14:editId="2AC38979">
                <wp:simplePos x="0" y="0"/>
                <wp:positionH relativeFrom="column">
                  <wp:posOffset>4574118</wp:posOffset>
                </wp:positionH>
                <wp:positionV relativeFrom="paragraph">
                  <wp:posOffset>857250</wp:posOffset>
                </wp:positionV>
                <wp:extent cx="711882" cy="619828"/>
                <wp:effectExtent l="0" t="0" r="0" b="0"/>
                <wp:wrapNone/>
                <wp:docPr id="90" name="Text Box 90"/>
                <wp:cNvGraphicFramePr/>
                <a:graphic xmlns:a="http://schemas.openxmlformats.org/drawingml/2006/main">
                  <a:graphicData uri="http://schemas.microsoft.com/office/word/2010/wordprocessingShape">
                    <wps:wsp>
                      <wps:cNvSpPr txBox="1"/>
                      <wps:spPr>
                        <a:xfrm>
                          <a:off x="0" y="0"/>
                          <a:ext cx="711882" cy="6198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C084B" w:rsidRDefault="00FC084B">
                            <w:pPr>
                              <w:rPr>
                                <w:color w:val="4F6228" w:themeColor="accent3" w:themeShade="80"/>
                                <w:sz w:val="20"/>
                              </w:rPr>
                            </w:pPr>
                            <w:r w:rsidRPr="000D1C03">
                              <w:rPr>
                                <w:color w:val="4F6228" w:themeColor="accent3" w:themeShade="80"/>
                                <w:sz w:val="20"/>
                              </w:rPr>
                              <w:t>2010.gads</w:t>
                            </w:r>
                          </w:p>
                          <w:p w:rsidR="00FC084B" w:rsidRPr="000D1C03" w:rsidRDefault="00FC084B">
                            <w:pPr>
                              <w:rPr>
                                <w:color w:val="4F6228" w:themeColor="accent3" w:themeShade="80"/>
                                <w:sz w:val="8"/>
                              </w:rPr>
                            </w:pPr>
                          </w:p>
                          <w:p w:rsidR="00FC084B" w:rsidRDefault="00FC084B">
                            <w:pPr>
                              <w:rPr>
                                <w:color w:val="4F6228" w:themeColor="accent3" w:themeShade="80"/>
                                <w:sz w:val="20"/>
                              </w:rPr>
                            </w:pPr>
                            <w:r w:rsidRPr="000D1C03">
                              <w:rPr>
                                <w:color w:val="4F6228" w:themeColor="accent3" w:themeShade="80"/>
                                <w:sz w:val="20"/>
                              </w:rPr>
                              <w:t>2011.gads</w:t>
                            </w:r>
                          </w:p>
                          <w:p w:rsidR="00FC084B" w:rsidRPr="000D1C03" w:rsidRDefault="00FC084B" w:rsidP="000D1C03">
                            <w:pPr>
                              <w:rPr>
                                <w:color w:val="4F6228" w:themeColor="accent3" w:themeShade="80"/>
                                <w:sz w:val="8"/>
                              </w:rPr>
                            </w:pPr>
                          </w:p>
                          <w:p w:rsidR="00FC084B" w:rsidRPr="000D1C03" w:rsidRDefault="00FC084B">
                            <w:pPr>
                              <w:rPr>
                                <w:color w:val="4F6228" w:themeColor="accent3" w:themeShade="80"/>
                                <w:sz w:val="20"/>
                              </w:rPr>
                            </w:pPr>
                            <w:r w:rsidRPr="000D1C03">
                              <w:rPr>
                                <w:color w:val="4F6228" w:themeColor="accent3" w:themeShade="80"/>
                                <w:sz w:val="20"/>
                              </w:rPr>
                              <w:t>2012.gads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98" type="#_x0000_t202" style="position:absolute;left:0;text-align:left;margin-left:360.15pt;margin-top:67.5pt;width:56.05pt;height:48.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" filled="f" stroked="f" strokeweight=".5pt">
                <v:textbox>
                  <w:txbxContent>
                    <w:p w:rsidR="00FC084B" w:rsidRDefault="00FC084B">
                      <w:pPr>
                        <w:rPr>
                          <w:color w:val="4F6228" w:themeColor="accent3" w:themeShade="80"/>
                          <w:sz w:val="20"/>
                        </w:rPr>
                      </w:pPr>
                      <w:r w:rsidRPr="000D1C03">
                        <w:rPr>
                          <w:color w:val="4F6228" w:themeColor="accent3" w:themeShade="80"/>
                          <w:sz w:val="20"/>
                        </w:rPr>
                        <w:t>2010.gads</w:t>
                      </w:r>
                    </w:p>
                    <w:p w:rsidR="00FC084B" w:rsidRPr="000D1C03" w:rsidRDefault="00FC084B">
                      <w:pPr>
                        <w:rPr>
                          <w:color w:val="4F6228" w:themeColor="accent3" w:themeShade="80"/>
                          <w:sz w:val="8"/>
                        </w:rPr>
                      </w:pPr>
                    </w:p>
                    <w:p w:rsidR="00FC084B" w:rsidRDefault="00FC084B">
                      <w:pPr>
                        <w:rPr>
                          <w:color w:val="4F6228" w:themeColor="accent3" w:themeShade="80"/>
                          <w:sz w:val="20"/>
                        </w:rPr>
                      </w:pPr>
                      <w:r w:rsidRPr="000D1C03">
                        <w:rPr>
                          <w:color w:val="4F6228" w:themeColor="accent3" w:themeShade="80"/>
                          <w:sz w:val="20"/>
                        </w:rPr>
                        <w:t>2011.gads</w:t>
                      </w:r>
                    </w:p>
                    <w:p w:rsidR="00FC084B" w:rsidRPr="000D1C03" w:rsidRDefault="00FC084B" w:rsidP="000D1C03">
                      <w:pPr>
                        <w:rPr>
                          <w:color w:val="4F6228" w:themeColor="accent3" w:themeShade="80"/>
                          <w:sz w:val="8"/>
                        </w:rPr>
                      </w:pPr>
                    </w:p>
                    <w:p w:rsidR="00FC084B" w:rsidRPr="000D1C03" w:rsidRDefault="00FC084B">
                      <w:pPr>
                        <w:rPr>
                          <w:color w:val="4F6228" w:themeColor="accent3" w:themeShade="80"/>
                          <w:sz w:val="20"/>
                        </w:rPr>
                      </w:pPr>
                      <w:r w:rsidRPr="000D1C03">
                        <w:rPr>
                          <w:color w:val="4F6228" w:themeColor="accent3" w:themeShade="80"/>
                          <w:sz w:val="20"/>
                        </w:rPr>
                        <w:t>2012.gads</w:t>
                      </w:r>
                    </w:p>
                  </w:txbxContent>
                </v:textbox>
              </v:shape>
            </w:pict>
          </mc:Fallback>
        </mc:AlternateContent>
      </w:r>
      <w:r w:rsidR="00164A4B">
        <w:rPr>
          <w:noProof/>
        </w:rPr>
        <w:drawing>
          <wp:inline distT="0" distB="0" distL="0" distR="0" wp14:anchorId="2A7DA8F8" wp14:editId="31C80CE8">
            <wp:extent cx="4608822" cy="2552955"/>
            <wp:effectExtent l="0" t="0" r="1905" b="0"/>
            <wp:docPr id="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1" cstate="print">
                      <a:duotone>
                        <a:schemeClr val="accent3">
                          <a:shade val="45000"/>
                          <a:satMod val="135000"/>
                        </a:schemeClr>
                        <a:prstClr val="white"/>
                      </a:duotone>
                    </a:blip>
                    <a:srcRect l="3100" t="20723" r="9294" b="3855"/>
                    <a:stretch/>
                  </pic:blipFill>
                  <pic:spPr bwMode="auto">
                    <a:xfrm>
                      <a:off x="0" y="0"/>
                      <a:ext cx="4613274" cy="2555421"/>
                    </a:xfrm>
                    <a:prstGeom prst="rect">
                      <a:avLst/>
                    </a:prstGeom>
                    <a:noFill/>
                    <a:ln>
                      <a:noFill/>
                    </a:ln>
                    <a:extLst>
                      <a:ext uri="{53640926-AAD7-44D8-BBD7-CCE9431645EC}">
                        <a14:shadowObscured xmlns:a14="http://schemas.microsoft.com/office/drawing/2010/main"/>
                      </a:ext>
                    </a:extLst>
                  </pic:spPr>
                </pic:pic>
              </a:graphicData>
            </a:graphic>
          </wp:inline>
        </w:drawing>
      </w:r>
    </w:p>
    <w:p w:rsidR="00164A4B" w:rsidRPr="00432783" w:rsidRDefault="00164A4B" w:rsidP="00432783">
      <w:pPr>
        <w:widowControl w:val="0"/>
        <w:spacing w:before="120"/>
        <w:jc w:val="both"/>
        <w:rPr>
          <w:rFonts w:asciiTheme="minorHAnsi" w:hAnsiTheme="minorHAnsi"/>
        </w:rPr>
      </w:pPr>
      <w:r w:rsidRPr="00432783">
        <w:rPr>
          <w:rFonts w:asciiTheme="minorHAnsi" w:hAnsiTheme="minorHAnsi"/>
        </w:rPr>
        <w:t>2012.gadā kravas ar koksnes skaidām eksportēja uz Kirgizstānu un Gruziju, savukārt kravas ar šķeldu eksportēja uz Dienvidkoreju, Gruziju, Krievijas Federāciju un Ķīnu.</w:t>
      </w:r>
    </w:p>
    <w:p w:rsidR="00164A4B" w:rsidRPr="00432783" w:rsidRDefault="00164A4B" w:rsidP="00432783">
      <w:pPr>
        <w:widowControl w:val="0"/>
        <w:spacing w:before="120"/>
        <w:jc w:val="both"/>
        <w:rPr>
          <w:rFonts w:asciiTheme="minorHAnsi" w:hAnsiTheme="minorHAnsi"/>
        </w:rPr>
      </w:pPr>
      <w:r w:rsidRPr="00432783">
        <w:rPr>
          <w:rFonts w:asciiTheme="minorHAnsi" w:hAnsiTheme="minorHAnsi"/>
        </w:rPr>
        <w:t xml:space="preserve">Salīdzinoši ar 2011.gadu, 2012.gadā eksportētais koksnes daudzums tonnās ir samazinājies par 32%, daudzums gabalos ir palielinājies 9x un daudzums kubikmetros ir palielinājies par 33%. </w:t>
      </w:r>
    </w:p>
    <w:p w:rsidR="00164A4B" w:rsidRDefault="00164A4B" w:rsidP="00432783">
      <w:pPr>
        <w:widowControl w:val="0"/>
        <w:spacing w:before="120"/>
        <w:jc w:val="both"/>
        <w:rPr>
          <w:rFonts w:asciiTheme="minorHAnsi" w:hAnsiTheme="minorHAnsi"/>
        </w:rPr>
      </w:pPr>
      <w:r w:rsidRPr="00432783">
        <w:rPr>
          <w:rFonts w:asciiTheme="minorHAnsi" w:hAnsiTheme="minorHAnsi"/>
          <w:u w:val="single"/>
        </w:rPr>
        <w:t>Mulča</w:t>
      </w:r>
      <w:r w:rsidRPr="00432783">
        <w:rPr>
          <w:rFonts w:asciiTheme="minorHAnsi" w:hAnsiTheme="minorHAnsi"/>
        </w:rPr>
        <w:t xml:space="preserve">. 2012.gadā eksportēja 26 kravas ar mulču ar kopējo daudzumu 230,06 t un 5272 maisi uz 4 valstīm. No tām 72% jeb 19 kravas (157,26t) ar Latvijas izcelsmes mulču eksportēja uz Krievijas Federāciju, 12% jeb 3 kravas jeb 4872 maisus (50l un 80l maisi) ar Latvijas izcelsmes mulču eksportēja uz Gruziju, 8% jeb 2 kravas (10,68t un 400 maisus) ar Amerikas Savienoto Valstu izcelsmes mulču eksportēja uz Baltkrieviju un 8% jeb 2 kravas (62,12t) ar Latvijas izcelsmes mulču eksportēja uz Azerbaidžānu. </w:t>
      </w:r>
    </w:p>
    <w:p w:rsidR="00945CF8" w:rsidRDefault="00945CF8" w:rsidP="00945CF8">
      <w:pPr>
        <w:widowControl w:val="0"/>
        <w:tabs>
          <w:tab w:val="center" w:pos="4559"/>
        </w:tabs>
        <w:spacing w:before="120"/>
      </w:pPr>
      <w:r>
        <w:rPr>
          <w:rFonts w:asciiTheme="minorHAnsi" w:hAnsiTheme="minorHAnsi"/>
          <w:i/>
          <w:color w:val="943634" w:themeColor="accent2" w:themeShade="BF"/>
        </w:rPr>
        <w:t>Uz trešajām valstīm e</w:t>
      </w:r>
      <w:r w:rsidRPr="00945CF8">
        <w:rPr>
          <w:rFonts w:asciiTheme="minorHAnsi" w:hAnsiTheme="minorHAnsi"/>
          <w:i/>
          <w:color w:val="943634" w:themeColor="accent2" w:themeShade="BF"/>
        </w:rPr>
        <w:t>ksportētās kravas ar mulču</w:t>
      </w:r>
      <w:r>
        <w:rPr>
          <w:rFonts w:asciiTheme="minorHAnsi" w:hAnsiTheme="minorHAnsi"/>
          <w:i/>
          <w:color w:val="943634" w:themeColor="accent2" w:themeShade="BF"/>
        </w:rPr>
        <w:t>, 2012.gads (%)</w:t>
      </w:r>
    </w:p>
    <w:p w:rsidR="00164A4B" w:rsidRDefault="00164A4B" w:rsidP="00961EEC">
      <w:pPr>
        <w:rPr>
          <w:color w:val="000000"/>
          <w:u w:val="single"/>
        </w:rPr>
      </w:pPr>
      <w:r>
        <w:rPr>
          <w:noProof/>
        </w:rPr>
        <w:drawing>
          <wp:inline distT="0" distB="0" distL="0" distR="0" wp14:anchorId="62A3FFD0" wp14:editId="4899BF1B">
            <wp:extent cx="4154375" cy="1982709"/>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duotone>
                        <a:schemeClr val="accent3">
                          <a:shade val="45000"/>
                          <a:satMod val="135000"/>
                        </a:schemeClr>
                        <a:prstClr val="white"/>
                      </a:duotone>
                    </a:blip>
                    <a:srcRect l="9756" t="18286" r="1568" b="6286"/>
                    <a:stretch>
                      <a:fillRect/>
                    </a:stretch>
                  </pic:blipFill>
                  <pic:spPr bwMode="auto">
                    <a:xfrm>
                      <a:off x="0" y="0"/>
                      <a:ext cx="4155621" cy="1983303"/>
                    </a:xfrm>
                    <a:prstGeom prst="rect">
                      <a:avLst/>
                    </a:prstGeom>
                    <a:noFill/>
                    <a:ln w="9525">
                      <a:noFill/>
                      <a:miter lim="800000"/>
                      <a:headEnd/>
                      <a:tailEnd/>
                    </a:ln>
                  </pic:spPr>
                </pic:pic>
              </a:graphicData>
            </a:graphic>
          </wp:inline>
        </w:drawing>
      </w:r>
    </w:p>
    <w:p w:rsidR="00164A4B" w:rsidRPr="00945CF8" w:rsidRDefault="00164A4B" w:rsidP="00945CF8">
      <w:pPr>
        <w:widowControl w:val="0"/>
        <w:spacing w:before="120"/>
        <w:jc w:val="both"/>
        <w:rPr>
          <w:rFonts w:asciiTheme="minorHAnsi" w:hAnsiTheme="minorHAnsi"/>
        </w:rPr>
      </w:pPr>
      <w:r w:rsidRPr="00945CF8">
        <w:rPr>
          <w:rFonts w:asciiTheme="minorHAnsi" w:hAnsiTheme="minorHAnsi"/>
        </w:rPr>
        <w:t xml:space="preserve">Salīdzinoši ar 2011.gadu, 2012.gadā eksportētais mulčas daudzums tonnās ir samazinājies par 9% un daudzums maisos - par 66% un 2 reizes ir palielinājies trešo valstu skaits uz kurām eksportēta mulča – ir nākušas klāt 2 jaunas saņēmējvalstis – Gruzija un Baltkrievija. </w:t>
      </w:r>
    </w:p>
    <w:p w:rsidR="00164A4B" w:rsidRDefault="00164A4B" w:rsidP="00945CF8">
      <w:pPr>
        <w:widowControl w:val="0"/>
        <w:spacing w:before="120"/>
        <w:jc w:val="both"/>
        <w:rPr>
          <w:rFonts w:asciiTheme="minorHAnsi" w:hAnsiTheme="minorHAnsi"/>
        </w:rPr>
      </w:pPr>
      <w:r w:rsidRPr="00945CF8">
        <w:rPr>
          <w:rFonts w:asciiTheme="minorHAnsi" w:hAnsiTheme="minorHAnsi"/>
        </w:rPr>
        <w:t>Apskatot eksportēto daudzumu uz Krievijas Federāciju un Azerbaidžānu 2011. un 2012.gadā, novērojams, ka uz Krievijas Federāciju 2012.gadā eksportētais daudzums palielinājās par 8% un uz Azerbaidžānu samazinājās par 41%.</w:t>
      </w:r>
    </w:p>
    <w:p w:rsidR="008637DF" w:rsidRPr="008637DF" w:rsidRDefault="008637DF" w:rsidP="00945CF8">
      <w:pPr>
        <w:widowControl w:val="0"/>
        <w:tabs>
          <w:tab w:val="center" w:pos="4559"/>
        </w:tabs>
        <w:spacing w:before="120"/>
        <w:rPr>
          <w:rFonts w:asciiTheme="minorHAnsi" w:hAnsiTheme="minorHAnsi"/>
          <w:i/>
          <w:color w:val="943634" w:themeColor="accent2" w:themeShade="BF"/>
          <w:sz w:val="8"/>
          <w:szCs w:val="8"/>
        </w:rPr>
      </w:pPr>
    </w:p>
    <w:p w:rsidR="00945CF8" w:rsidRDefault="00945CF8" w:rsidP="00945CF8">
      <w:pPr>
        <w:widowControl w:val="0"/>
        <w:tabs>
          <w:tab w:val="center" w:pos="4559"/>
        </w:tabs>
        <w:spacing w:before="120"/>
      </w:pPr>
      <w:r w:rsidRPr="00945CF8">
        <w:rPr>
          <w:rFonts w:asciiTheme="minorHAnsi" w:hAnsiTheme="minorHAnsi"/>
          <w:i/>
          <w:color w:val="943634" w:themeColor="accent2" w:themeShade="BF"/>
        </w:rPr>
        <w:t xml:space="preserve">Eksportētās mulčas daudzums uz </w:t>
      </w:r>
      <w:r>
        <w:rPr>
          <w:rFonts w:asciiTheme="minorHAnsi" w:hAnsiTheme="minorHAnsi"/>
          <w:i/>
          <w:color w:val="943634" w:themeColor="accent2" w:themeShade="BF"/>
        </w:rPr>
        <w:t>Krievijas Federāciju un Azerbaidžānu (2011. – 2012.gads) (t)</w:t>
      </w:r>
    </w:p>
    <w:p w:rsidR="00164A4B" w:rsidRDefault="00164A4B" w:rsidP="00961EEC">
      <w:pPr>
        <w:rPr>
          <w:color w:val="000000"/>
        </w:rPr>
      </w:pPr>
      <w:r>
        <w:rPr>
          <w:noProof/>
        </w:rPr>
        <w:lastRenderedPageBreak/>
        <w:drawing>
          <wp:inline distT="0" distB="0" distL="0" distR="0" wp14:anchorId="4D4541E7" wp14:editId="74FE259D">
            <wp:extent cx="4495800" cy="1788057"/>
            <wp:effectExtent l="0" t="0" r="0" b="317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duotone>
                        <a:schemeClr val="accent3">
                          <a:shade val="45000"/>
                          <a:satMod val="135000"/>
                        </a:schemeClr>
                        <a:prstClr val="white"/>
                      </a:duotone>
                    </a:blip>
                    <a:srcRect l="3110" t="28571" r="1727" b="6247"/>
                    <a:stretch>
                      <a:fillRect/>
                    </a:stretch>
                  </pic:blipFill>
                  <pic:spPr bwMode="auto">
                    <a:xfrm>
                      <a:off x="0" y="0"/>
                      <a:ext cx="4495800" cy="1788057"/>
                    </a:xfrm>
                    <a:prstGeom prst="rect">
                      <a:avLst/>
                    </a:prstGeom>
                    <a:noFill/>
                    <a:ln w="9525">
                      <a:noFill/>
                      <a:miter lim="800000"/>
                      <a:headEnd/>
                      <a:tailEnd/>
                    </a:ln>
                  </pic:spPr>
                </pic:pic>
              </a:graphicData>
            </a:graphic>
          </wp:inline>
        </w:drawing>
      </w:r>
    </w:p>
    <w:p w:rsidR="00164A4B" w:rsidRPr="00945CF8" w:rsidRDefault="00164A4B" w:rsidP="00945CF8">
      <w:pPr>
        <w:widowControl w:val="0"/>
        <w:spacing w:before="120"/>
        <w:jc w:val="both"/>
        <w:rPr>
          <w:rFonts w:asciiTheme="minorHAnsi" w:hAnsiTheme="minorHAnsi"/>
        </w:rPr>
      </w:pPr>
      <w:r w:rsidRPr="00945CF8">
        <w:rPr>
          <w:rFonts w:asciiTheme="minorHAnsi" w:hAnsiTheme="minorHAnsi"/>
          <w:u w:val="single"/>
        </w:rPr>
        <w:t>Sojas spraukumi</w:t>
      </w:r>
      <w:r w:rsidRPr="00945CF8">
        <w:rPr>
          <w:rFonts w:asciiTheme="minorHAnsi" w:hAnsiTheme="minorHAnsi"/>
        </w:rPr>
        <w:t>. 2012.gadā eksportētas 6889 Argentīnas, Amerikas Savienoto Valstu un Nīderlandes izcelsmes sojas spraukumu kravas ar kopējo daudzumu 402612,61t uz 8 valstīm.</w:t>
      </w:r>
    </w:p>
    <w:p w:rsidR="00164A4B" w:rsidRDefault="00164A4B" w:rsidP="00164A4B">
      <w:pPr>
        <w:ind w:firstLine="540"/>
        <w:jc w:val="both"/>
        <w:rPr>
          <w:bCs/>
          <w:color w:val="000000"/>
          <w:u w:val="single"/>
        </w:rPr>
      </w:pPr>
    </w:p>
    <w:p w:rsidR="00164A4B" w:rsidRDefault="00164A4B" w:rsidP="00945CF8">
      <w:pPr>
        <w:shd w:val="clear" w:color="auto" w:fill="DAEEF3" w:themeFill="accent5" w:themeFillTint="33"/>
        <w:jc w:val="both"/>
        <w:rPr>
          <w:b/>
          <w:bCs/>
          <w:color w:val="000000"/>
        </w:rPr>
      </w:pPr>
      <w:r w:rsidRPr="00945CF8">
        <w:rPr>
          <w:rFonts w:asciiTheme="minorHAnsi" w:hAnsiTheme="minorHAnsi"/>
        </w:rPr>
        <w:t>Valstis, uz kurām eksportēti sojas spraukumi un to daudzumi (t)</w:t>
      </w:r>
    </w:p>
    <w:p w:rsidR="00164A4B" w:rsidRDefault="00164A4B" w:rsidP="00164A4B">
      <w:pPr>
        <w:tabs>
          <w:tab w:val="left" w:pos="0"/>
        </w:tabs>
        <w:ind w:firstLine="720"/>
        <w:jc w:val="center"/>
        <w:rPr>
          <w:bCs/>
          <w:color w:val="000000"/>
        </w:rPr>
      </w:pPr>
    </w:p>
    <w:tbl>
      <w:tblPr>
        <w:tblW w:w="6127"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4A0" w:firstRow="1" w:lastRow="0" w:firstColumn="1" w:lastColumn="0" w:noHBand="0" w:noVBand="1"/>
      </w:tblPr>
      <w:tblGrid>
        <w:gridCol w:w="3390"/>
        <w:gridCol w:w="2737"/>
      </w:tblGrid>
      <w:tr w:rsidR="00164A4B" w:rsidRPr="008637DF" w:rsidTr="00945CF8">
        <w:trPr>
          <w:trHeight w:val="319"/>
        </w:trPr>
        <w:tc>
          <w:tcPr>
            <w:tcW w:w="3390" w:type="dxa"/>
            <w:vAlign w:val="bottom"/>
          </w:tcPr>
          <w:p w:rsidR="00164A4B" w:rsidRPr="008637DF" w:rsidRDefault="00164A4B" w:rsidP="00945CF8">
            <w:pPr>
              <w:widowControl w:val="0"/>
              <w:spacing w:line="285" w:lineRule="auto"/>
              <w:jc w:val="center"/>
              <w:rPr>
                <w:rFonts w:asciiTheme="minorHAnsi" w:hAnsiTheme="minorHAnsi"/>
                <w:b/>
                <w:sz w:val="20"/>
                <w:szCs w:val="20"/>
              </w:rPr>
            </w:pPr>
            <w:r w:rsidRPr="008637DF">
              <w:rPr>
                <w:rFonts w:asciiTheme="minorHAnsi" w:hAnsiTheme="minorHAnsi"/>
                <w:b/>
                <w:sz w:val="20"/>
                <w:szCs w:val="20"/>
              </w:rPr>
              <w:t>Saņēmējvalsts</w:t>
            </w:r>
          </w:p>
        </w:tc>
        <w:tc>
          <w:tcPr>
            <w:tcW w:w="2737" w:type="dxa"/>
            <w:vAlign w:val="center"/>
            <w:hideMark/>
          </w:tcPr>
          <w:p w:rsidR="00164A4B" w:rsidRPr="008637DF" w:rsidRDefault="00164A4B" w:rsidP="00945CF8">
            <w:pPr>
              <w:widowControl w:val="0"/>
              <w:spacing w:line="285" w:lineRule="auto"/>
              <w:jc w:val="center"/>
              <w:rPr>
                <w:rFonts w:asciiTheme="minorHAnsi" w:hAnsiTheme="minorHAnsi"/>
                <w:b/>
                <w:sz w:val="20"/>
                <w:szCs w:val="20"/>
              </w:rPr>
            </w:pPr>
            <w:r w:rsidRPr="008637DF">
              <w:rPr>
                <w:rFonts w:asciiTheme="minorHAnsi" w:hAnsiTheme="minorHAnsi"/>
                <w:b/>
                <w:sz w:val="20"/>
                <w:szCs w:val="20"/>
              </w:rPr>
              <w:t>Eksportētais daudzums (t)</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Baltkrievija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185495,75</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Krievijas Federācija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165290,86</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Uzbekistāna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29341,04</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Azerbaidžāna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7505,85</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Kazahstāna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8827,23</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Tadžikistāna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2616,42</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Ukraina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2465,68</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Kirgizstāna</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sz w:val="20"/>
                <w:szCs w:val="20"/>
              </w:rPr>
            </w:pPr>
            <w:r w:rsidRPr="008637DF">
              <w:rPr>
                <w:rFonts w:asciiTheme="minorHAnsi" w:hAnsiTheme="minorHAnsi"/>
                <w:sz w:val="20"/>
                <w:szCs w:val="20"/>
              </w:rPr>
              <w:t>1069,78</w:t>
            </w:r>
          </w:p>
        </w:tc>
      </w:tr>
      <w:tr w:rsidR="00164A4B" w:rsidRPr="008637DF" w:rsidTr="00945CF8">
        <w:trPr>
          <w:trHeight w:val="255"/>
        </w:trPr>
        <w:tc>
          <w:tcPr>
            <w:tcW w:w="3390" w:type="dxa"/>
            <w:noWrap/>
            <w:vAlign w:val="bottom"/>
            <w:hideMark/>
          </w:tcPr>
          <w:p w:rsidR="00164A4B" w:rsidRPr="008637DF" w:rsidRDefault="00164A4B" w:rsidP="00945CF8">
            <w:pPr>
              <w:widowControl w:val="0"/>
              <w:spacing w:line="285" w:lineRule="auto"/>
              <w:jc w:val="center"/>
              <w:rPr>
                <w:rFonts w:asciiTheme="minorHAnsi" w:hAnsiTheme="minorHAnsi"/>
                <w:b/>
                <w:sz w:val="20"/>
                <w:szCs w:val="20"/>
              </w:rPr>
            </w:pPr>
            <w:r w:rsidRPr="008637DF">
              <w:rPr>
                <w:rFonts w:asciiTheme="minorHAnsi" w:hAnsiTheme="minorHAnsi"/>
                <w:b/>
                <w:sz w:val="20"/>
                <w:szCs w:val="20"/>
              </w:rPr>
              <w:t>Kopā:</w:t>
            </w:r>
          </w:p>
        </w:tc>
        <w:tc>
          <w:tcPr>
            <w:tcW w:w="2737" w:type="dxa"/>
            <w:noWrap/>
            <w:vAlign w:val="bottom"/>
            <w:hideMark/>
          </w:tcPr>
          <w:p w:rsidR="00164A4B" w:rsidRPr="008637DF" w:rsidRDefault="00164A4B" w:rsidP="00945CF8">
            <w:pPr>
              <w:widowControl w:val="0"/>
              <w:spacing w:line="285" w:lineRule="auto"/>
              <w:jc w:val="center"/>
              <w:rPr>
                <w:rFonts w:asciiTheme="minorHAnsi" w:hAnsiTheme="minorHAnsi"/>
                <w:b/>
                <w:sz w:val="20"/>
                <w:szCs w:val="20"/>
              </w:rPr>
            </w:pPr>
            <w:r w:rsidRPr="008637DF">
              <w:rPr>
                <w:rFonts w:asciiTheme="minorHAnsi" w:hAnsiTheme="minorHAnsi"/>
                <w:b/>
                <w:sz w:val="20"/>
                <w:szCs w:val="20"/>
              </w:rPr>
              <w:t>402612,61</w:t>
            </w:r>
          </w:p>
        </w:tc>
      </w:tr>
    </w:tbl>
    <w:p w:rsidR="00164A4B" w:rsidRPr="008637DF" w:rsidRDefault="00164A4B" w:rsidP="00164A4B">
      <w:pPr>
        <w:tabs>
          <w:tab w:val="left" w:pos="0"/>
        </w:tabs>
        <w:ind w:firstLine="720"/>
        <w:rPr>
          <w:bCs/>
          <w:color w:val="333399"/>
          <w:sz w:val="8"/>
          <w:szCs w:val="8"/>
        </w:rPr>
      </w:pPr>
    </w:p>
    <w:p w:rsidR="00164A4B" w:rsidRPr="00945CF8" w:rsidRDefault="00164A4B" w:rsidP="00945CF8">
      <w:pPr>
        <w:widowControl w:val="0"/>
        <w:spacing w:before="120"/>
        <w:jc w:val="both"/>
        <w:rPr>
          <w:rFonts w:asciiTheme="minorHAnsi" w:hAnsiTheme="minorHAnsi"/>
        </w:rPr>
      </w:pPr>
      <w:r w:rsidRPr="00945CF8">
        <w:rPr>
          <w:rFonts w:asciiTheme="minorHAnsi" w:hAnsiTheme="minorHAnsi"/>
        </w:rPr>
        <w:t>2012.gadā visvairāk sojas spraukumu tika eksportēti uz Baltkrieviju, kas sastāda 46% no kopējā eksportētā daudzuma, 41% uz Krievijas Federāciju un 7% uz Uzbekistānu.</w:t>
      </w:r>
    </w:p>
    <w:p w:rsidR="00164A4B" w:rsidRPr="00945CF8" w:rsidRDefault="00164A4B" w:rsidP="00945CF8">
      <w:pPr>
        <w:widowControl w:val="0"/>
        <w:spacing w:before="120"/>
        <w:jc w:val="both"/>
        <w:rPr>
          <w:rFonts w:asciiTheme="minorHAnsi" w:hAnsiTheme="minorHAnsi"/>
        </w:rPr>
      </w:pPr>
      <w:r w:rsidRPr="00945CF8">
        <w:rPr>
          <w:rFonts w:asciiTheme="minorHAnsi" w:hAnsiTheme="minorHAnsi"/>
        </w:rPr>
        <w:t>Laika posmā no 2009.-2012.gadam, katru gadu sojas spraukumu eksports uz trešajām valstīm palielinās, izņemot 2012.gadu, kad sojas spraukumu eksportētais daudzums samazinājās par 23%.</w:t>
      </w:r>
    </w:p>
    <w:p w:rsidR="00945CF8" w:rsidRPr="00945CF8" w:rsidRDefault="00945CF8" w:rsidP="00945CF8">
      <w:pPr>
        <w:widowControl w:val="0"/>
        <w:tabs>
          <w:tab w:val="center" w:pos="4559"/>
        </w:tabs>
        <w:spacing w:before="120"/>
        <w:rPr>
          <w:rFonts w:asciiTheme="minorHAnsi" w:hAnsiTheme="minorHAnsi"/>
          <w:i/>
          <w:color w:val="943634" w:themeColor="accent2" w:themeShade="BF"/>
        </w:rPr>
      </w:pPr>
      <w:r w:rsidRPr="00945CF8">
        <w:rPr>
          <w:rFonts w:asciiTheme="minorHAnsi" w:hAnsiTheme="minorHAnsi"/>
          <w:i/>
          <w:color w:val="943634" w:themeColor="accent2" w:themeShade="BF"/>
        </w:rPr>
        <w:t>Eksportētais sojas daudzums</w:t>
      </w:r>
      <w:r>
        <w:rPr>
          <w:rFonts w:asciiTheme="minorHAnsi" w:hAnsiTheme="minorHAnsi"/>
          <w:i/>
          <w:color w:val="943634" w:themeColor="accent2" w:themeShade="BF"/>
        </w:rPr>
        <w:t xml:space="preserve"> (2009. – 2012.gads) </w:t>
      </w:r>
    </w:p>
    <w:p w:rsidR="00164A4B" w:rsidRDefault="00164A4B" w:rsidP="00945CF8">
      <w:pPr>
        <w:tabs>
          <w:tab w:val="left" w:pos="0"/>
        </w:tabs>
        <w:rPr>
          <w:bCs/>
          <w:color w:val="333399"/>
        </w:rPr>
      </w:pPr>
      <w:r>
        <w:rPr>
          <w:noProof/>
        </w:rPr>
        <w:drawing>
          <wp:inline distT="0" distB="0" distL="0" distR="0" wp14:anchorId="54F5EB0D" wp14:editId="794724AA">
            <wp:extent cx="4593771" cy="2049235"/>
            <wp:effectExtent l="0" t="0" r="0" b="8255"/>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duotone>
                        <a:schemeClr val="accent3">
                          <a:shade val="45000"/>
                          <a:satMod val="135000"/>
                        </a:schemeClr>
                        <a:prstClr val="white"/>
                      </a:duotone>
                    </a:blip>
                    <a:srcRect l="2438" t="19345" r="1871" b="5952"/>
                    <a:stretch>
                      <a:fillRect/>
                    </a:stretch>
                  </pic:blipFill>
                  <pic:spPr bwMode="auto">
                    <a:xfrm>
                      <a:off x="0" y="0"/>
                      <a:ext cx="4593771" cy="2049235"/>
                    </a:xfrm>
                    <a:prstGeom prst="rect">
                      <a:avLst/>
                    </a:prstGeom>
                    <a:noFill/>
                    <a:ln w="9525">
                      <a:noFill/>
                      <a:miter lim="800000"/>
                      <a:headEnd/>
                      <a:tailEnd/>
                    </a:ln>
                  </pic:spPr>
                </pic:pic>
              </a:graphicData>
            </a:graphic>
          </wp:inline>
        </w:drawing>
      </w:r>
    </w:p>
    <w:p w:rsidR="00164A4B" w:rsidRDefault="00164A4B" w:rsidP="00945CF8">
      <w:pPr>
        <w:widowControl w:val="0"/>
        <w:spacing w:before="120"/>
        <w:jc w:val="both"/>
        <w:rPr>
          <w:rFonts w:asciiTheme="minorHAnsi" w:hAnsiTheme="minorHAnsi"/>
        </w:rPr>
      </w:pPr>
      <w:r w:rsidRPr="00945CF8">
        <w:rPr>
          <w:rFonts w:asciiTheme="minorHAnsi" w:hAnsiTheme="minorHAnsi"/>
        </w:rPr>
        <w:t xml:space="preserve">Apskatot eksportētos apjomus uz Krievijas Federāciju, Baltkrieviju un Uzbekistānu laika posmā no 2010.-2012.gadam, ir novērojams, ka katru gadu eksportētais daudzums pieaug, izņemot 2012.gadu, kad sojas spraukumu eksports uz Baltkrieviju un Krievijas Federāciju samazinājās attiecīgi par 11% un 33%. Vislielākais eksporta apjoma pieaugums novērojams </w:t>
      </w:r>
      <w:r w:rsidRPr="00945CF8">
        <w:rPr>
          <w:rFonts w:asciiTheme="minorHAnsi" w:hAnsiTheme="minorHAnsi"/>
        </w:rPr>
        <w:lastRenderedPageBreak/>
        <w:t>2011.gadā uz Baltkrieviju (2 reizes) un vislielākais eksporta apjoma kritums par 33% novērojams 2012.gadā uz Baltkrieviju.</w:t>
      </w:r>
    </w:p>
    <w:p w:rsidR="00945CF8" w:rsidRPr="00945CF8" w:rsidRDefault="00945CF8" w:rsidP="00945CF8">
      <w:pPr>
        <w:widowControl w:val="0"/>
        <w:tabs>
          <w:tab w:val="center" w:pos="4559"/>
        </w:tabs>
        <w:spacing w:before="120"/>
        <w:rPr>
          <w:rFonts w:asciiTheme="minorHAnsi" w:hAnsiTheme="minorHAnsi"/>
          <w:i/>
          <w:color w:val="943634" w:themeColor="accent2" w:themeShade="BF"/>
        </w:rPr>
      </w:pPr>
      <w:r w:rsidRPr="00945CF8">
        <w:rPr>
          <w:rFonts w:asciiTheme="minorHAnsi" w:hAnsiTheme="minorHAnsi"/>
          <w:i/>
          <w:color w:val="943634" w:themeColor="accent2" w:themeShade="BF"/>
        </w:rPr>
        <w:t>Sojas spraukumu eksportētais apjoms</w:t>
      </w:r>
      <w:r w:rsidR="00917ED5">
        <w:rPr>
          <w:rFonts w:asciiTheme="minorHAnsi" w:hAnsiTheme="minorHAnsi"/>
          <w:i/>
          <w:color w:val="943634" w:themeColor="accent2" w:themeShade="BF"/>
        </w:rPr>
        <w:t xml:space="preserve">  uz Krievijas Federāciju, Baltkrieviju un Uzbekistānu (2010. – 2012.gads)</w:t>
      </w:r>
    </w:p>
    <w:p w:rsidR="00164A4B" w:rsidRDefault="00164A4B" w:rsidP="00917ED5">
      <w:pPr>
        <w:rPr>
          <w:bCs/>
          <w:color w:val="333399"/>
        </w:rPr>
      </w:pPr>
      <w:r>
        <w:rPr>
          <w:noProof/>
        </w:rPr>
        <w:drawing>
          <wp:inline distT="0" distB="0" distL="0" distR="0" wp14:anchorId="395690E2" wp14:editId="490102FF">
            <wp:extent cx="5069940" cy="2091351"/>
            <wp:effectExtent l="0" t="0" r="0" b="4445"/>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duotone>
                        <a:schemeClr val="accent3">
                          <a:shade val="45000"/>
                          <a:satMod val="135000"/>
                        </a:schemeClr>
                        <a:prstClr val="white"/>
                      </a:duotone>
                    </a:blip>
                    <a:srcRect l="2329" t="18663" r="1243" b="3900"/>
                    <a:stretch>
                      <a:fillRect/>
                    </a:stretch>
                  </pic:blipFill>
                  <pic:spPr bwMode="auto">
                    <a:xfrm>
                      <a:off x="0" y="0"/>
                      <a:ext cx="5067300" cy="2090262"/>
                    </a:xfrm>
                    <a:prstGeom prst="rect">
                      <a:avLst/>
                    </a:prstGeom>
                    <a:noFill/>
                    <a:ln w="9525">
                      <a:noFill/>
                      <a:miter lim="800000"/>
                      <a:headEnd/>
                      <a:tailEnd/>
                    </a:ln>
                  </pic:spPr>
                </pic:pic>
              </a:graphicData>
            </a:graphic>
          </wp:inline>
        </w:drawing>
      </w:r>
    </w:p>
    <w:p w:rsidR="00164A4B" w:rsidRPr="00917ED5" w:rsidRDefault="00164A4B" w:rsidP="00917ED5">
      <w:pPr>
        <w:widowControl w:val="0"/>
        <w:spacing w:before="120"/>
        <w:jc w:val="both"/>
        <w:rPr>
          <w:rFonts w:asciiTheme="minorHAnsi" w:hAnsiTheme="minorHAnsi"/>
        </w:rPr>
      </w:pPr>
      <w:r w:rsidRPr="00917ED5">
        <w:rPr>
          <w:rFonts w:asciiTheme="minorHAnsi" w:hAnsiTheme="minorHAnsi"/>
        </w:rPr>
        <w:t xml:space="preserve">Sojas spraukumos ir bioloģiski pilnvērtīgs proteīnu saturs un augsts neaizvietojamās aminoskābes – lizīna saturs, kas ir īpaši nozīmīgs lopbarībā. Tāpēc pieprasījums pēc sojas spraukumiem lopbarībai šajās valstīs ir liels. </w:t>
      </w:r>
    </w:p>
    <w:p w:rsidR="00164A4B" w:rsidRPr="00917ED5" w:rsidRDefault="00164A4B" w:rsidP="00917ED5">
      <w:pPr>
        <w:widowControl w:val="0"/>
        <w:spacing w:before="120"/>
        <w:jc w:val="both"/>
        <w:rPr>
          <w:rFonts w:asciiTheme="minorHAnsi" w:hAnsiTheme="minorHAnsi"/>
        </w:rPr>
      </w:pPr>
      <w:r w:rsidRPr="00917ED5">
        <w:rPr>
          <w:rFonts w:asciiTheme="minorHAnsi" w:hAnsiTheme="minorHAnsi"/>
          <w:u w:val="single"/>
        </w:rPr>
        <w:t>Graudu un to produkti</w:t>
      </w:r>
      <w:r w:rsidRPr="00917ED5">
        <w:rPr>
          <w:rFonts w:asciiTheme="minorHAnsi" w:hAnsiTheme="minorHAnsi"/>
        </w:rPr>
        <w:t xml:space="preserve">. 2012.gadā eksportēja 885360,90t Latvijas, Lietuvas, Krievijas Federācijas, Kazahstānas un Amerikas Savienoto Valstu, Argentīnas un Spānijas u.c. valstu izcelsmes graudus (auzas, kvieši, mieži, rudzi, griķi, rīsi, kukurūza) un to produktus (graudu pārslas, manna, milti u.c.) uz 24 valstīm. Šajā gadā tika atvērti jauni tirgi, jo nāca klāt 3 jaunas saņēmējvalstis – Nīderlandes Antiļas, Samoa un Surinama, uz kurām eksportēja 365,45t kviešu graudu produktus. </w:t>
      </w:r>
    </w:p>
    <w:p w:rsidR="00164A4B" w:rsidRPr="00917ED5" w:rsidRDefault="00164A4B" w:rsidP="00917ED5">
      <w:pPr>
        <w:widowControl w:val="0"/>
        <w:spacing w:before="120"/>
        <w:jc w:val="both"/>
        <w:rPr>
          <w:rFonts w:asciiTheme="minorHAnsi" w:hAnsiTheme="minorHAnsi"/>
        </w:rPr>
      </w:pPr>
      <w:r w:rsidRPr="00917ED5">
        <w:rPr>
          <w:rFonts w:asciiTheme="minorHAnsi" w:hAnsiTheme="minorHAnsi"/>
        </w:rPr>
        <w:t xml:space="preserve">Salīdzinoši ar 2011.gadu, 2012.gadā eksportētais graudu un to produktu apjoms palielinājās 3 reizes un par 5 valstīm palielinājās to valstu skaits uz kurām kravas tika eksportētas. </w:t>
      </w:r>
    </w:p>
    <w:p w:rsidR="00164A4B" w:rsidRPr="00917ED5" w:rsidRDefault="00164A4B" w:rsidP="00917ED5">
      <w:pPr>
        <w:widowControl w:val="0"/>
        <w:spacing w:before="120"/>
        <w:jc w:val="both"/>
        <w:rPr>
          <w:rFonts w:asciiTheme="minorHAnsi" w:hAnsiTheme="minorHAnsi"/>
        </w:rPr>
      </w:pPr>
      <w:r w:rsidRPr="00917ED5">
        <w:rPr>
          <w:rFonts w:asciiTheme="minorHAnsi" w:hAnsiTheme="minorHAnsi"/>
        </w:rPr>
        <w:t xml:space="preserve">2012.gadā 27% jeb 242955,09t graudu un to produktu no kopējā eksportētā daudzuma eksportēti uz Alžīru, 20% jeb 176280,13t uz Krievijas Federāciju, 15% jeb 130894,69t uz </w:t>
      </w:r>
      <w:proofErr w:type="spellStart"/>
      <w:r w:rsidRPr="00917ED5">
        <w:rPr>
          <w:rFonts w:asciiTheme="minorHAnsi" w:hAnsiTheme="minorHAnsi"/>
        </w:rPr>
        <w:t>Saudu</w:t>
      </w:r>
      <w:proofErr w:type="spellEnd"/>
      <w:r w:rsidRPr="00917ED5">
        <w:rPr>
          <w:rFonts w:asciiTheme="minorHAnsi" w:hAnsiTheme="minorHAnsi"/>
        </w:rPr>
        <w:t xml:space="preserve"> Arābiju, 13% jeb 116759,72t uz Lībiju un 12% jeb 103896,39t uz Irānu. Salīdzinoši ar 2011.gadu, 2012.gadā graudu un to produktu eksports uz Lībiju pieauga 6 reizes, uz Krievijas Federāciju palielinājās par 81%, savukārt uz </w:t>
      </w:r>
      <w:proofErr w:type="spellStart"/>
      <w:r w:rsidRPr="00917ED5">
        <w:rPr>
          <w:rFonts w:asciiTheme="minorHAnsi" w:hAnsiTheme="minorHAnsi"/>
        </w:rPr>
        <w:t>Saudu</w:t>
      </w:r>
      <w:proofErr w:type="spellEnd"/>
      <w:r w:rsidRPr="00917ED5">
        <w:rPr>
          <w:rFonts w:asciiTheme="minorHAnsi" w:hAnsiTheme="minorHAnsi"/>
        </w:rPr>
        <w:t xml:space="preserve"> Arābiju samazinājās par 6%. 2011.gadā, kā arī 2010.gadā graudi un to produkti uz Alžīru netika eksportēti.</w:t>
      </w:r>
    </w:p>
    <w:p w:rsidR="00164A4B" w:rsidRPr="00917ED5" w:rsidRDefault="00917ED5" w:rsidP="00917ED5">
      <w:pPr>
        <w:widowControl w:val="0"/>
        <w:tabs>
          <w:tab w:val="center" w:pos="4559"/>
        </w:tabs>
        <w:spacing w:before="120"/>
        <w:rPr>
          <w:rFonts w:asciiTheme="minorHAnsi" w:hAnsiTheme="minorHAnsi"/>
        </w:rPr>
      </w:pPr>
      <w:r w:rsidRPr="00917ED5">
        <w:rPr>
          <w:rFonts w:asciiTheme="minorHAnsi" w:hAnsiTheme="minorHAnsi"/>
          <w:i/>
          <w:color w:val="943634" w:themeColor="accent2" w:themeShade="BF"/>
        </w:rPr>
        <w:t>Graudu un graudu produktu eksport</w:t>
      </w:r>
      <w:r>
        <w:rPr>
          <w:rFonts w:asciiTheme="minorHAnsi" w:hAnsiTheme="minorHAnsi"/>
          <w:i/>
          <w:color w:val="943634" w:themeColor="accent2" w:themeShade="BF"/>
        </w:rPr>
        <w:t>ētais daudzums uz Krievijas Federāciju, Lībiju</w:t>
      </w:r>
      <w:proofErr w:type="gramStart"/>
      <w:r>
        <w:rPr>
          <w:rFonts w:asciiTheme="minorHAnsi" w:hAnsiTheme="minorHAnsi"/>
          <w:i/>
          <w:color w:val="943634" w:themeColor="accent2" w:themeShade="BF"/>
        </w:rPr>
        <w:t xml:space="preserve">  </w:t>
      </w:r>
      <w:proofErr w:type="gramEnd"/>
      <w:r>
        <w:rPr>
          <w:rFonts w:asciiTheme="minorHAnsi" w:hAnsiTheme="minorHAnsi"/>
          <w:i/>
          <w:color w:val="943634" w:themeColor="accent2" w:themeShade="BF"/>
        </w:rPr>
        <w:t xml:space="preserve">un </w:t>
      </w:r>
      <w:proofErr w:type="spellStart"/>
      <w:r>
        <w:rPr>
          <w:rFonts w:asciiTheme="minorHAnsi" w:hAnsiTheme="minorHAnsi"/>
          <w:i/>
          <w:color w:val="943634" w:themeColor="accent2" w:themeShade="BF"/>
        </w:rPr>
        <w:t>Saudu</w:t>
      </w:r>
      <w:proofErr w:type="spellEnd"/>
      <w:r>
        <w:rPr>
          <w:rFonts w:asciiTheme="minorHAnsi" w:hAnsiTheme="minorHAnsi"/>
          <w:i/>
          <w:color w:val="943634" w:themeColor="accent2" w:themeShade="BF"/>
        </w:rPr>
        <w:t xml:space="preserve"> Arābiju (2010. – 2012.gads)</w:t>
      </w:r>
    </w:p>
    <w:p w:rsidR="00164A4B" w:rsidRDefault="00164A4B" w:rsidP="00917ED5">
      <w:pPr>
        <w:rPr>
          <w:bCs/>
          <w:color w:val="000080"/>
        </w:rPr>
      </w:pPr>
      <w:r>
        <w:rPr>
          <w:noProof/>
          <w:color w:val="000000"/>
        </w:rPr>
        <w:drawing>
          <wp:inline distT="0" distB="0" distL="0" distR="0" wp14:anchorId="46DCC2C2" wp14:editId="1E286951">
            <wp:extent cx="5069940" cy="2136618"/>
            <wp:effectExtent l="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duotone>
                        <a:schemeClr val="accent3">
                          <a:shade val="45000"/>
                          <a:satMod val="135000"/>
                        </a:schemeClr>
                        <a:prstClr val="white"/>
                      </a:duotone>
                    </a:blip>
                    <a:srcRect l="2782" t="23206" r="1237" b="5742"/>
                    <a:stretch>
                      <a:fillRect/>
                    </a:stretch>
                  </pic:blipFill>
                  <pic:spPr bwMode="auto">
                    <a:xfrm>
                      <a:off x="0" y="0"/>
                      <a:ext cx="5067300" cy="2135505"/>
                    </a:xfrm>
                    <a:prstGeom prst="rect">
                      <a:avLst/>
                    </a:prstGeom>
                    <a:noFill/>
                    <a:ln w="9525">
                      <a:noFill/>
                      <a:miter lim="800000"/>
                      <a:headEnd/>
                      <a:tailEnd/>
                    </a:ln>
                  </pic:spPr>
                </pic:pic>
              </a:graphicData>
            </a:graphic>
          </wp:inline>
        </w:drawing>
      </w:r>
    </w:p>
    <w:p w:rsidR="00164A4B" w:rsidRPr="003451C7" w:rsidRDefault="00164A4B" w:rsidP="003451C7">
      <w:pPr>
        <w:widowControl w:val="0"/>
        <w:spacing w:before="120"/>
        <w:jc w:val="both"/>
        <w:rPr>
          <w:rFonts w:asciiTheme="minorHAnsi" w:hAnsiTheme="minorHAnsi"/>
        </w:rPr>
      </w:pPr>
      <w:r w:rsidRPr="003451C7">
        <w:rPr>
          <w:rFonts w:asciiTheme="minorHAnsi" w:hAnsiTheme="minorHAnsi"/>
        </w:rPr>
        <w:lastRenderedPageBreak/>
        <w:t xml:space="preserve">Lai nodrošinātu </w:t>
      </w:r>
      <w:r w:rsidRPr="003451C7">
        <w:rPr>
          <w:rFonts w:asciiTheme="minorHAnsi" w:hAnsiTheme="minorHAnsi"/>
          <w:b/>
        </w:rPr>
        <w:t>zāģmateriālu tirdzniecību uz Eiropas Savienības aizsargājamajām zonām Lielbritānijā, Īrijā, Grieķijā</w:t>
      </w:r>
      <w:r w:rsidRPr="003451C7">
        <w:rPr>
          <w:rFonts w:asciiTheme="minorHAnsi" w:hAnsiTheme="minorHAnsi"/>
        </w:rPr>
        <w:t xml:space="preserve">, </w:t>
      </w:r>
      <w:r w:rsidR="00DB586F">
        <w:rPr>
          <w:rFonts w:asciiTheme="minorHAnsi" w:hAnsiTheme="minorHAnsi"/>
        </w:rPr>
        <w:t>VAAD</w:t>
      </w:r>
      <w:r w:rsidRPr="003451C7">
        <w:rPr>
          <w:rFonts w:asciiTheme="minorHAnsi" w:hAnsiTheme="minorHAnsi"/>
        </w:rPr>
        <w:t xml:space="preserve"> veic pārbaudes, lai noteiktu to atbilstību fitosanitārajām prasībām, t.i., vai tie ir nomizoti. 2012.gadā ir veiktas 17 skujkoku zāģmateriālu pārbaudes, un pārbaudītais apjoms ir 53578 m³. Salīdzinoši ar 2011.gadu pārbaudīto skujkoku zāģmateriālu daudzums nosūtīšanai uz Eiropas Savienības valstu aizsargājamām zonām 2012.gadā samazinājās par 15%.</w:t>
      </w:r>
    </w:p>
    <w:p w:rsidR="00164A4B" w:rsidRDefault="00164A4B" w:rsidP="00164A4B">
      <w:pPr>
        <w:jc w:val="center"/>
        <w:rPr>
          <w:b/>
          <w:u w:val="single"/>
        </w:rPr>
      </w:pPr>
    </w:p>
    <w:p w:rsidR="005C155C" w:rsidRPr="00DB586F" w:rsidRDefault="005C155C" w:rsidP="005C155C">
      <w:pPr>
        <w:widowControl w:val="0"/>
        <w:shd w:val="clear" w:color="auto" w:fill="EAF1DD" w:themeFill="accent3" w:themeFillTint="33"/>
        <w:spacing w:before="120"/>
        <w:jc w:val="both"/>
        <w:rPr>
          <w:rFonts w:asciiTheme="minorHAnsi" w:hAnsiTheme="minorHAnsi"/>
          <w:sz w:val="28"/>
        </w:rPr>
      </w:pPr>
      <w:r w:rsidRPr="00DB586F">
        <w:rPr>
          <w:rFonts w:asciiTheme="minorHAnsi" w:hAnsiTheme="minorHAnsi"/>
          <w:sz w:val="28"/>
        </w:rPr>
        <w:t xml:space="preserve">Tirdzniecību vietu pārbaudes </w:t>
      </w:r>
    </w:p>
    <w:p w:rsidR="005C155C" w:rsidRDefault="005C155C" w:rsidP="005C155C">
      <w:pPr>
        <w:jc w:val="center"/>
      </w:pPr>
    </w:p>
    <w:p w:rsidR="005C155C" w:rsidRPr="00DB586F" w:rsidRDefault="005C155C" w:rsidP="008637DF">
      <w:pPr>
        <w:widowControl w:val="0"/>
        <w:jc w:val="both"/>
        <w:rPr>
          <w:rFonts w:asciiTheme="minorHAnsi" w:hAnsiTheme="minorHAnsi"/>
          <w:b/>
        </w:rPr>
      </w:pPr>
      <w:r w:rsidRPr="00DB586F">
        <w:rPr>
          <w:rFonts w:asciiTheme="minorHAnsi" w:hAnsiTheme="minorHAnsi"/>
          <w:b/>
        </w:rPr>
        <w:t>Augu karantīnas prasību ievērošanas pārbaudes</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u w:val="single"/>
        </w:rPr>
        <w:t>Augu pases</w:t>
      </w:r>
      <w:r w:rsidRPr="00DB586F">
        <w:rPr>
          <w:rFonts w:asciiTheme="minorHAnsi" w:hAnsiTheme="minorHAnsi"/>
        </w:rPr>
        <w:t xml:space="preserve">. Latvijā augu pasu sistēma darbojas kopš 2002.gada, ar mērķi nodrošināt, ka apritē nonāk stādāmais materiāls, kuru pārbaudīja audzēšanas vietā un atzina par veselīgu un kvalitatīvu.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2012.gadā turpinātas pārbaudes tirdzniecības vietās (tirgos, gadatirgos un citās pastāvīgajās tirdzniecības vietās), lai kontrolētu, kā tiek ievērotas normatīvajos aktos par augu karantīnu noteiktās prasības. Kopā 2012.gadā tirdzniecības vietās pārbaudītas 350 personas - 187 personas par augu pasu lietošanu un 163 persona par kartupeļu tirdzniecības atbilstību prasībām. Papildus tika veiktas 58 pārbaudes dārzkopības centros, lai pārbaudītu normatīvo aktu ievērošanu augu karantīnas jomā un vispārējā fitosanitārā stāvokļa noteikšanai augiem.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Divpadsmit gadījumos konstatēts augu pasu lietošanas pārkāpums- augiem netika pievienotas augu pases. Visos gadījumos ir noteikts tirdzniecības aizliegums līdz augu pasu pievienošanai un izteikts mutvārdu aizrādījums. Astoņos gadījumos, kad bakteriālo iedegu </w:t>
      </w:r>
      <w:proofErr w:type="spellStart"/>
      <w:r w:rsidRPr="00DB586F">
        <w:rPr>
          <w:rFonts w:asciiTheme="minorHAnsi" w:hAnsiTheme="minorHAnsi"/>
        </w:rPr>
        <w:t>Erwinia</w:t>
      </w:r>
      <w:proofErr w:type="spellEnd"/>
      <w:r w:rsidRPr="00DB586F">
        <w:rPr>
          <w:rFonts w:asciiTheme="minorHAnsi" w:hAnsiTheme="minorHAnsi"/>
        </w:rPr>
        <w:t xml:space="preserve"> </w:t>
      </w:r>
      <w:proofErr w:type="spellStart"/>
      <w:r w:rsidRPr="00DB586F">
        <w:rPr>
          <w:rFonts w:asciiTheme="minorHAnsi" w:hAnsiTheme="minorHAnsi"/>
        </w:rPr>
        <w:t>amylovora</w:t>
      </w:r>
      <w:proofErr w:type="spellEnd"/>
      <w:r w:rsidRPr="00DB586F">
        <w:rPr>
          <w:rFonts w:asciiTheme="minorHAnsi" w:hAnsiTheme="minorHAnsi"/>
        </w:rPr>
        <w:t xml:space="preserve"> saimniekaugu stādiem no Vācijas un Nīderlandes tika pievienotas augu pases bez norādes ZP b2, kas apliecina, ka stādi audzēti no bakteriālajām iedegām brīvajās stādaudzētavās,  tika piemēroti fitosanitārie pasākumi- iznicināšana. Tika iznīcināti 142 augi: pīlādži Sorbus </w:t>
      </w:r>
      <w:proofErr w:type="spellStart"/>
      <w:r w:rsidRPr="00DB586F">
        <w:rPr>
          <w:rFonts w:asciiTheme="minorHAnsi" w:hAnsiTheme="minorHAnsi"/>
        </w:rPr>
        <w:t>spp</w:t>
      </w:r>
      <w:proofErr w:type="spellEnd"/>
      <w:r w:rsidRPr="00DB586F">
        <w:rPr>
          <w:rFonts w:asciiTheme="minorHAnsi" w:hAnsiTheme="minorHAnsi"/>
        </w:rPr>
        <w:t xml:space="preserve">. – 51 stāds, ābeles </w:t>
      </w:r>
      <w:proofErr w:type="spellStart"/>
      <w:r w:rsidRPr="00DB586F">
        <w:rPr>
          <w:rFonts w:asciiTheme="minorHAnsi" w:hAnsiTheme="minorHAnsi"/>
        </w:rPr>
        <w:t>Malus</w:t>
      </w:r>
      <w:proofErr w:type="spellEnd"/>
      <w:r w:rsidRPr="00DB586F">
        <w:rPr>
          <w:rFonts w:asciiTheme="minorHAnsi" w:hAnsiTheme="minorHAnsi"/>
        </w:rPr>
        <w:t xml:space="preserve"> </w:t>
      </w:r>
      <w:proofErr w:type="spellStart"/>
      <w:r w:rsidRPr="00DB586F">
        <w:rPr>
          <w:rFonts w:asciiTheme="minorHAnsi" w:hAnsiTheme="minorHAnsi"/>
        </w:rPr>
        <w:t>spp</w:t>
      </w:r>
      <w:proofErr w:type="spellEnd"/>
      <w:r w:rsidRPr="00DB586F">
        <w:rPr>
          <w:rFonts w:asciiTheme="minorHAnsi" w:hAnsiTheme="minorHAnsi"/>
        </w:rPr>
        <w:t xml:space="preserve">. – 74 augi un klintenes </w:t>
      </w:r>
      <w:proofErr w:type="spellStart"/>
      <w:r w:rsidRPr="00DB586F">
        <w:rPr>
          <w:rFonts w:asciiTheme="minorHAnsi" w:hAnsiTheme="minorHAnsi"/>
        </w:rPr>
        <w:t>Cotoneaster</w:t>
      </w:r>
      <w:proofErr w:type="spellEnd"/>
      <w:r w:rsidRPr="00DB586F">
        <w:rPr>
          <w:rFonts w:asciiTheme="minorHAnsi" w:hAnsiTheme="minorHAnsi"/>
        </w:rPr>
        <w:t xml:space="preserve"> – 17 augi.</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56 gadījumos tika konstatēts, ka persona, kas audzē vai tirgo kartupeļus, nav iekļauta Fitosanitārajai kontrolei pakļauto augu un augu produktu apritē iesaistīto personu reģistrā. līdz ar to realizē kartupeļus, nenorādot reģistrācijas numuru uz to kartupeļu iepakojuma vai pavaddokumentos. Trīs gadījumos konstatēts, ka persona, lai arī bija reģistrēta reģistrā, nebija norādījusi šo reģistrācijas numuru ne pie kartupeļu iepakojuma, ne pavaddokumentos. Visos gadījumos izteikts mutvārdu aizrādījums.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No 2009.gada 1.janvāri stājās spēkā Ministru kabineta 2007.gada 29.maija noteikumu Nr.365 „Kartupeļu gaišās gredzenpuves apkarošanas un izplatības ierobežošanas kārtība” 5.punkts, kas nosaka, ka persona, kura audzē kartupeļus, katru gadu atjauno sēklas kartupeļus ar sertificētiem sēklas kartupeļiem. No 2012.gada spēkā ir prasība, ka katru gadu sēklas kartupeļi jāatjauno ar sertificētiem sēklas kartupeļiem 10% no apstādāmās prasības, ko kartupeļu audzētājiem ir vieglāk ievērot kā iepriekšējo, kad sēkla bija jāatjauno 25% no apstādāmās platības. Kopā 2012.gadā pārbaudītas 267 saimniecības. Pārbaudēs konstatēts, ka 83 (69%) saimniecības šo prasību nav ievērojušas un šīm saimniecībām izteikts mutvārdu aizrādījums. Pārbaudītas 44 saimniecības, kuras 2011.gadā nebija izpildījušas prasību atjaunot sēklas kartupeļus ar sertificētu sēklu. Konstatēts, ka 10 saimniecības šo prasību nav ievērojušas atkārtoti, tām ierosināta administratīvo pārkāpumu lieta un piemērots naudas sods par kopējo summu 395,- Ls.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2012.gada 28.februārī tika apstiprināti Ministru kabineta noteikumi Nr.145 „Noteikumi par </w:t>
      </w:r>
      <w:r w:rsidRPr="00DB586F">
        <w:rPr>
          <w:rFonts w:asciiTheme="minorHAnsi" w:hAnsiTheme="minorHAnsi"/>
        </w:rPr>
        <w:lastRenderedPageBreak/>
        <w:t xml:space="preserve">fitosanitārajiem pasākumiem un to piemērošanas kārtību koksnes iepakojamajam materiālam”. Līdz šim personu iekļaušanu Koksnes iepakojamā materiāla marķētāju reģistrā un uzraudzības pārbaužu veikšanu noteica Zemkopības Ministrijas 2003.gada 1.aprīļa </w:t>
      </w:r>
      <w:smartTag w:uri="schemas-tilde-lv/tildestengine" w:element="veidnes">
        <w:smartTagPr>
          <w:attr w:name="text" w:val="instrukcija"/>
          <w:attr w:name="baseform" w:val="instrukcija"/>
          <w:attr w:name="id" w:val="-1"/>
        </w:smartTagPr>
        <w:r w:rsidRPr="00DB586F">
          <w:rPr>
            <w:rFonts w:asciiTheme="minorHAnsi" w:hAnsiTheme="minorHAnsi"/>
          </w:rPr>
          <w:t>instrukcija</w:t>
        </w:r>
      </w:smartTag>
      <w:r w:rsidRPr="00DB586F">
        <w:rPr>
          <w:rFonts w:asciiTheme="minorHAnsi" w:hAnsiTheme="minorHAnsi"/>
        </w:rPr>
        <w:t xml:space="preserve"> Nr.3 „Fitosanitāro pasākumu veikšana koksnes iepakojamajam materiālam”. Koksnes iepakojamā materiāla marķētāju reģistrā 2012.gadā tika reģistrēti 9 jauni uzņēmumi, no reģistra izslēgti tika 10, savukārt, grozījumi uzņēmuma informācijā tika veikti trim uzņēmumiem. </w:t>
      </w:r>
    </w:p>
    <w:p w:rsidR="005C155C" w:rsidRPr="00DB586F" w:rsidRDefault="005C155C" w:rsidP="005C155C">
      <w:pPr>
        <w:widowControl w:val="0"/>
        <w:spacing w:before="120"/>
        <w:jc w:val="both"/>
        <w:rPr>
          <w:rFonts w:asciiTheme="minorHAnsi" w:hAnsiTheme="minorHAnsi"/>
        </w:rPr>
      </w:pPr>
      <w:r>
        <w:rPr>
          <w:rFonts w:asciiTheme="minorHAnsi" w:hAnsiTheme="minorHAnsi"/>
        </w:rPr>
        <w:t>VAAD</w:t>
      </w:r>
      <w:r w:rsidRPr="00DB586F">
        <w:rPr>
          <w:rFonts w:asciiTheme="minorHAnsi" w:hAnsiTheme="minorHAnsi"/>
        </w:rPr>
        <w:t xml:space="preserve"> turpināja Koksnes iepakojamā materiāla marķētāju reģistrā iekļauto uzņēmumu uzraudzību. 2012.gadā </w:t>
      </w:r>
      <w:r>
        <w:rPr>
          <w:rFonts w:asciiTheme="minorHAnsi" w:hAnsiTheme="minorHAnsi"/>
        </w:rPr>
        <w:t>VAAD</w:t>
      </w:r>
      <w:r w:rsidRPr="00DB586F">
        <w:rPr>
          <w:rFonts w:asciiTheme="minorHAnsi" w:hAnsiTheme="minorHAnsi"/>
        </w:rPr>
        <w:t xml:space="preserve"> veica 142 pārbaudes 74 Koksnes iepakojamā materiāla marķētāju reģistrā reģistrētos uzņēmumos.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Pēdējā laikā arvien vairāk pieaug to gadījumu skaits, kad tiek viltots standartā Nr.15 noteiktais marķējums, kā rezultātā tas tiek likts uz termiski neapstrādātām paletēm. Šāda situācija rada draudus kaitīgo organismu izplatībai, diskreditē standarta Nr.15 lietošanu un mazina citu valstu uzticību Latvijā ieviestajai koksnes iepakojamā materiāla marķēšanas sistēmai. Tādēļ </w:t>
      </w:r>
      <w:r>
        <w:rPr>
          <w:rFonts w:asciiTheme="minorHAnsi" w:hAnsiTheme="minorHAnsi"/>
        </w:rPr>
        <w:t>VAAD</w:t>
      </w:r>
      <w:r w:rsidRPr="00DB586F">
        <w:rPr>
          <w:rFonts w:asciiTheme="minorHAnsi" w:hAnsiTheme="minorHAnsi"/>
        </w:rPr>
        <w:t xml:space="preserve"> 2011.gadā uzsāka un 2012.gadā turpināja tādu koksnes iepakojamā materiāla ražotāju pārbaudes, kuri nav reģistrēti Koksnes iepakojamā materiāla marķētāju reģistrā. Veiktas 28 šādas pārbaudes 25 uzņēmumos un vienā pārbaude konstatēti pārkāpumi. Uzņēmumam tika noteikts sakārtot savu darbību atbilstoši normatīvajos aktos noteiktajai kārtībai.</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Pamatojoties uz MK noteikumiem par koksnes iepakojamo materiālu </w:t>
      </w:r>
      <w:r>
        <w:rPr>
          <w:rFonts w:asciiTheme="minorHAnsi" w:hAnsiTheme="minorHAnsi"/>
        </w:rPr>
        <w:t>VAAD</w:t>
      </w:r>
      <w:r w:rsidRPr="00DB586F">
        <w:rPr>
          <w:rFonts w:asciiTheme="minorHAnsi" w:hAnsiTheme="minorHAnsi"/>
        </w:rPr>
        <w:t xml:space="preserve"> 2012.gadā izsniedza atļauju vienam uzņēmumam (sertifikācijas institūcijai) veikt koksnes iepakojamā materiāla termiskās apstrādes procesa sertifikāciju.</w:t>
      </w:r>
    </w:p>
    <w:p w:rsidR="005C155C" w:rsidRDefault="005C155C" w:rsidP="005C155C">
      <w:pPr>
        <w:ind w:left="720" w:hanging="375"/>
        <w:jc w:val="center"/>
        <w:rPr>
          <w:b/>
          <w:bCs/>
        </w:rPr>
      </w:pPr>
    </w:p>
    <w:p w:rsidR="005C155C" w:rsidRPr="00DB586F" w:rsidRDefault="005C155C" w:rsidP="005C155C">
      <w:pPr>
        <w:widowControl w:val="0"/>
        <w:shd w:val="clear" w:color="auto" w:fill="EAF1DD" w:themeFill="accent3" w:themeFillTint="33"/>
        <w:spacing w:before="120"/>
        <w:jc w:val="both"/>
        <w:rPr>
          <w:rFonts w:asciiTheme="minorHAnsi" w:hAnsiTheme="minorHAnsi"/>
          <w:sz w:val="28"/>
        </w:rPr>
      </w:pPr>
      <w:r w:rsidRPr="00DB586F">
        <w:rPr>
          <w:rFonts w:asciiTheme="minorHAnsi" w:hAnsiTheme="minorHAnsi"/>
          <w:sz w:val="28"/>
        </w:rPr>
        <w:t>Par normatīvajiem aktiem piemērotās sankcijas, administratīvo pārkāpumu lietās uzliktie naudas sodi un pārsūdzētie lēmumi, analīze, secinājumi un prognozes</w:t>
      </w:r>
    </w:p>
    <w:p w:rsidR="005C155C" w:rsidRPr="008637DF" w:rsidRDefault="005C155C" w:rsidP="005C155C">
      <w:pPr>
        <w:ind w:firstLine="720"/>
        <w:jc w:val="both"/>
        <w:rPr>
          <w:sz w:val="10"/>
          <w:szCs w:val="10"/>
        </w:rPr>
      </w:pP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Visām 82 kartupeļu audzēšanas saimniecībām, kuras nebija ievērojušas prasību atjaunot sēklas kartupeļus ar sertificētiem sēklas kartupeļiem 10% apmērā no apstādāmās platības, tika izteikts mutvārdu aizrādījums.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10 saimniecībām, kurās konstatēts, ka šī prasība netiek ievērota atkārtoti (gan 2011., gan 2012.gadā), ierosināta administratīvā pārkāpuma lieta, piemērots naudas sods par kopējo summu 375 Ls, vienai saimniecībai.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Tirdzniecības vietās veiktajās pārbaudēs divpadsmit gadījumos konstatēts augu pasu lietošanas pārkāpums- augiem netika pievienotas augu pases. Visos gadījumos ir noteikts tirdzniecības aizliegums līdz augu pasu pievienošanai un izteikts mutvārdu aizrādījums. Astoņos gadījumos, kad bakteriālo iedegu </w:t>
      </w:r>
      <w:proofErr w:type="spellStart"/>
      <w:r w:rsidRPr="00DB586F">
        <w:rPr>
          <w:rFonts w:asciiTheme="minorHAnsi" w:hAnsiTheme="minorHAnsi"/>
        </w:rPr>
        <w:t>Erwinia</w:t>
      </w:r>
      <w:proofErr w:type="spellEnd"/>
      <w:r w:rsidRPr="00DB586F">
        <w:rPr>
          <w:rFonts w:asciiTheme="minorHAnsi" w:hAnsiTheme="minorHAnsi"/>
        </w:rPr>
        <w:t xml:space="preserve"> </w:t>
      </w:r>
      <w:proofErr w:type="spellStart"/>
      <w:r w:rsidRPr="00DB586F">
        <w:rPr>
          <w:rFonts w:asciiTheme="minorHAnsi" w:hAnsiTheme="minorHAnsi"/>
        </w:rPr>
        <w:t>amylovora</w:t>
      </w:r>
      <w:proofErr w:type="spellEnd"/>
      <w:r w:rsidRPr="00DB586F">
        <w:rPr>
          <w:rFonts w:asciiTheme="minorHAnsi" w:hAnsiTheme="minorHAnsi"/>
        </w:rPr>
        <w:t xml:space="preserve"> saimniekaugu stādiem no Vācijas un Nīderlandes tika pievienotas augu pases bez norādes ZP b2, kas apliecina, ka stādi audzēti no bakteriālajām iedegām brīvajās stādaudzētavās,  tika piemēroti fitosanitārie pasākumi- iznicināšana. Tika iznīcināti 142 augi: pīlādži Sorbus </w:t>
      </w:r>
      <w:proofErr w:type="spellStart"/>
      <w:r w:rsidRPr="00DB586F">
        <w:rPr>
          <w:rFonts w:asciiTheme="minorHAnsi" w:hAnsiTheme="minorHAnsi"/>
        </w:rPr>
        <w:t>spp</w:t>
      </w:r>
      <w:proofErr w:type="spellEnd"/>
      <w:r w:rsidRPr="00DB586F">
        <w:rPr>
          <w:rFonts w:asciiTheme="minorHAnsi" w:hAnsiTheme="minorHAnsi"/>
        </w:rPr>
        <w:t xml:space="preserve">. – 51 stāds, ābeles </w:t>
      </w:r>
      <w:proofErr w:type="spellStart"/>
      <w:r w:rsidRPr="00DB586F">
        <w:rPr>
          <w:rFonts w:asciiTheme="minorHAnsi" w:hAnsiTheme="minorHAnsi"/>
        </w:rPr>
        <w:t>Malus</w:t>
      </w:r>
      <w:proofErr w:type="spellEnd"/>
      <w:r w:rsidRPr="00DB586F">
        <w:rPr>
          <w:rFonts w:asciiTheme="minorHAnsi" w:hAnsiTheme="minorHAnsi"/>
        </w:rPr>
        <w:t xml:space="preserve"> </w:t>
      </w:r>
      <w:proofErr w:type="spellStart"/>
      <w:r w:rsidRPr="00DB586F">
        <w:rPr>
          <w:rFonts w:asciiTheme="minorHAnsi" w:hAnsiTheme="minorHAnsi"/>
        </w:rPr>
        <w:t>spp</w:t>
      </w:r>
      <w:proofErr w:type="spellEnd"/>
      <w:r w:rsidRPr="00DB586F">
        <w:rPr>
          <w:rFonts w:asciiTheme="minorHAnsi" w:hAnsiTheme="minorHAnsi"/>
        </w:rPr>
        <w:t xml:space="preserve">. – 74 augi un klintenes </w:t>
      </w:r>
      <w:proofErr w:type="spellStart"/>
      <w:r w:rsidRPr="00DB586F">
        <w:rPr>
          <w:rFonts w:asciiTheme="minorHAnsi" w:hAnsiTheme="minorHAnsi"/>
        </w:rPr>
        <w:t>Cotoneaster</w:t>
      </w:r>
      <w:proofErr w:type="spellEnd"/>
      <w:r w:rsidRPr="00DB586F">
        <w:rPr>
          <w:rFonts w:asciiTheme="minorHAnsi" w:hAnsiTheme="minorHAnsi"/>
        </w:rPr>
        <w:t xml:space="preserve"> – 17 augi.</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Tāpat arī mutvārdu aizrādījums izteikts 40 gadījumos, kad konstatēts, ka persona, kas tirgo kartupeļus,  nav reģistrējusies Fitosanitārajai kontrolei pakļauto augu un augu produktu apritē iesaistīto personu reģistrā, un 16 gadījumos, kad reģistrācijas numurs nav norādīts uz kartupeļu iepakojuma vai pavaddokumentos.</w:t>
      </w:r>
    </w:p>
    <w:p w:rsidR="005C155C" w:rsidRPr="00DB586F" w:rsidRDefault="005C155C" w:rsidP="005C155C">
      <w:pPr>
        <w:widowControl w:val="0"/>
        <w:spacing w:before="120"/>
        <w:jc w:val="both"/>
        <w:rPr>
          <w:rFonts w:asciiTheme="minorHAnsi" w:hAnsiTheme="minorHAnsi"/>
        </w:rPr>
      </w:pPr>
      <w:r>
        <w:rPr>
          <w:rFonts w:asciiTheme="minorHAnsi" w:hAnsiTheme="minorHAnsi"/>
        </w:rPr>
        <w:lastRenderedPageBreak/>
        <w:t>VAAD</w:t>
      </w:r>
      <w:r w:rsidRPr="00DB586F">
        <w:rPr>
          <w:rFonts w:asciiTheme="minorHAnsi" w:hAnsiTheme="minorHAnsi"/>
        </w:rPr>
        <w:t xml:space="preserve">, pārbaudot fitosanitāro pasākumu izpildi saimniecībās, kurās iepriekšējos gados konstatēta kartupeļu gaišā gredzenpuve, konstatēja, ka 7 saimniecības nav izpildījušas tām uzliktos fitosanitāros pasākumus -  4 saimniecības stādīšanai izmantojušas nesertificētu kartupeļu sēklas materiālu,  bet trīs saimniecības nav veikušas lauksaimniecības tehnikas dezinfekciju. Par šiem pārkāpumiem piecos gadījumos ierosinātas Administratīvo pārkāpumu lietas un piemērots naudas sods par kopējo summu 150 Ls, divos gadījumos izteikts mutvārdu aizrādījums. </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 xml:space="preserve">2012.gadā </w:t>
      </w:r>
      <w:r>
        <w:rPr>
          <w:rFonts w:asciiTheme="minorHAnsi" w:hAnsiTheme="minorHAnsi"/>
        </w:rPr>
        <w:t>VAAD</w:t>
      </w:r>
      <w:r w:rsidRPr="00DB586F">
        <w:rPr>
          <w:rFonts w:asciiTheme="minorHAnsi" w:hAnsiTheme="minorHAnsi"/>
        </w:rPr>
        <w:t xml:space="preserve"> neplānoja veikt </w:t>
      </w:r>
      <w:proofErr w:type="spellStart"/>
      <w:r w:rsidRPr="00DB586F">
        <w:rPr>
          <w:rFonts w:asciiTheme="minorHAnsi" w:hAnsiTheme="minorHAnsi"/>
        </w:rPr>
        <w:t>Sosnovska</w:t>
      </w:r>
      <w:proofErr w:type="spellEnd"/>
      <w:r w:rsidRPr="00DB586F">
        <w:rPr>
          <w:rFonts w:asciiTheme="minorHAnsi" w:hAnsiTheme="minorHAnsi"/>
        </w:rPr>
        <w:t xml:space="preserve"> latvāņa ierobežošanas uzraudzību, izņemot pārbaudes, kas veicamas uz sūdzību pamata, kas veiktas nelielā skaitā. Vairākos novados ierobežošanas uzraudzību veic pašvaldības, nepieciešamības gadījumā sadarbojoties vai konsultējoties ar </w:t>
      </w:r>
      <w:r>
        <w:rPr>
          <w:rFonts w:asciiTheme="minorHAnsi" w:hAnsiTheme="minorHAnsi"/>
        </w:rPr>
        <w:t>VAAD</w:t>
      </w:r>
      <w:r w:rsidRPr="00DB586F">
        <w:rPr>
          <w:rFonts w:asciiTheme="minorHAnsi" w:hAnsiTheme="minorHAnsi"/>
        </w:rPr>
        <w:t>.</w:t>
      </w:r>
    </w:p>
    <w:p w:rsidR="005C155C" w:rsidRPr="00DB586F" w:rsidRDefault="005C155C" w:rsidP="005C155C">
      <w:pPr>
        <w:widowControl w:val="0"/>
        <w:spacing w:before="120"/>
        <w:jc w:val="both"/>
        <w:rPr>
          <w:rFonts w:asciiTheme="minorHAnsi" w:hAnsiTheme="minorHAnsi"/>
        </w:rPr>
      </w:pPr>
      <w:r w:rsidRPr="00DB586F">
        <w:rPr>
          <w:rFonts w:asciiTheme="minorHAnsi" w:hAnsiTheme="minorHAnsi"/>
        </w:rPr>
        <w:t>Uz sūdzību pamata 2012.gadā veiktas 39 pārbaudes. Tika ierosinātas 5 administratīvā pārkāpuma lietas, viena lieta izbeigta kā arī konstatēti 7 maznozīmīgi pārkāpumi.</w:t>
      </w:r>
    </w:p>
    <w:p w:rsidR="005C155C" w:rsidRPr="008637DF" w:rsidRDefault="005C155C" w:rsidP="005C155C">
      <w:pPr>
        <w:rPr>
          <w:rFonts w:asciiTheme="minorHAnsi" w:hAnsiTheme="minorHAnsi"/>
          <w:sz w:val="12"/>
          <w:szCs w:val="12"/>
        </w:rPr>
      </w:pPr>
    </w:p>
    <w:p w:rsidR="005C155C" w:rsidRDefault="005C155C" w:rsidP="005C155C">
      <w:pPr>
        <w:widowControl w:val="0"/>
        <w:shd w:val="clear" w:color="auto" w:fill="EAF1DD" w:themeFill="accent3" w:themeFillTint="33"/>
        <w:spacing w:before="120"/>
        <w:jc w:val="both"/>
        <w:rPr>
          <w:b/>
          <w:u w:val="single"/>
        </w:rPr>
      </w:pPr>
      <w:r>
        <w:rPr>
          <w:rFonts w:asciiTheme="minorHAnsi" w:hAnsiTheme="minorHAnsi"/>
          <w:sz w:val="28"/>
        </w:rPr>
        <w:t xml:space="preserve">4.2.5. </w:t>
      </w:r>
      <w:r w:rsidRPr="003451C7">
        <w:rPr>
          <w:rFonts w:asciiTheme="minorHAnsi" w:hAnsiTheme="minorHAnsi"/>
          <w:sz w:val="28"/>
        </w:rPr>
        <w:t>Fitosanitārā apstrāde ar pirmās reģistrācijas klases augu aizsardzības līdzekļiem</w:t>
      </w:r>
    </w:p>
    <w:p w:rsidR="005C155C" w:rsidRPr="003451C7" w:rsidRDefault="005C155C" w:rsidP="005C155C">
      <w:pPr>
        <w:widowControl w:val="0"/>
        <w:spacing w:before="120"/>
        <w:jc w:val="both"/>
        <w:rPr>
          <w:rFonts w:asciiTheme="minorHAnsi" w:hAnsiTheme="minorHAnsi"/>
        </w:rPr>
      </w:pPr>
      <w:r w:rsidRPr="003451C7">
        <w:rPr>
          <w:rFonts w:asciiTheme="minorHAnsi" w:hAnsiTheme="minorHAnsi"/>
        </w:rPr>
        <w:t xml:space="preserve">Viena no </w:t>
      </w:r>
      <w:r>
        <w:rPr>
          <w:rFonts w:asciiTheme="minorHAnsi" w:hAnsiTheme="minorHAnsi"/>
        </w:rPr>
        <w:t>VAAD</w:t>
      </w:r>
      <w:r w:rsidRPr="003451C7">
        <w:rPr>
          <w:rFonts w:asciiTheme="minorHAnsi" w:hAnsiTheme="minorHAnsi"/>
        </w:rPr>
        <w:t xml:space="preserve"> funkcijām ir veikt pirmās reģistrācijas klases augu aizsardzības līdzekļu lietošanas apmācību, aprites un lietošanas uzraudzību.</w:t>
      </w:r>
    </w:p>
    <w:p w:rsidR="005C155C" w:rsidRDefault="005C155C" w:rsidP="005C155C">
      <w:pPr>
        <w:widowControl w:val="0"/>
        <w:spacing w:before="120"/>
        <w:jc w:val="both"/>
        <w:rPr>
          <w:rFonts w:asciiTheme="minorHAnsi" w:hAnsiTheme="minorHAnsi"/>
        </w:rPr>
      </w:pPr>
      <w:r w:rsidRPr="003451C7">
        <w:rPr>
          <w:rFonts w:asciiTheme="minorHAnsi" w:hAnsiTheme="minorHAnsi"/>
        </w:rPr>
        <w:t xml:space="preserve">2012.gadā izsniegtas 13 apliecības, 3 no tām pagarinātās. Lai izsniegtu jaunas apliecības, novadīti vairāki mācību kursi. Pēc izmaiņām likumdošanā sagatavoti jauni materiāli, papildināta sniedzamā informācija. </w:t>
      </w:r>
    </w:p>
    <w:p w:rsidR="00164A4B" w:rsidRPr="003451C7" w:rsidRDefault="005C155C" w:rsidP="003451C7">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 xml:space="preserve">4.2.6. </w:t>
      </w:r>
      <w:r w:rsidR="00164A4B" w:rsidRPr="003451C7">
        <w:rPr>
          <w:rFonts w:asciiTheme="minorHAnsi" w:hAnsiTheme="minorHAnsi"/>
          <w:sz w:val="28"/>
        </w:rPr>
        <w:t>Laboratoriskā testēšana karantīnas organismu atklāšanai</w:t>
      </w:r>
    </w:p>
    <w:p w:rsidR="00164A4B" w:rsidRPr="003451C7" w:rsidRDefault="00164A4B" w:rsidP="003451C7">
      <w:pPr>
        <w:widowControl w:val="0"/>
        <w:spacing w:before="120"/>
        <w:jc w:val="both"/>
        <w:rPr>
          <w:rFonts w:asciiTheme="minorHAnsi" w:hAnsiTheme="minorHAnsi"/>
        </w:rPr>
      </w:pPr>
      <w:r w:rsidRPr="003451C7">
        <w:rPr>
          <w:rFonts w:asciiTheme="minorHAnsi" w:hAnsiTheme="minorHAnsi"/>
        </w:rPr>
        <w:t xml:space="preserve"> 2012. gadā laboratorijā reģistrēti 4561 paraugi, tas ir par 389 paraugiem vairāk nekā 2011.gadā 86 paraugos konstatēti augu karantīnas organismi. 89,6 % paraugu ir noņēmuši </w:t>
      </w:r>
      <w:r w:rsidR="004B6E67">
        <w:rPr>
          <w:rFonts w:asciiTheme="minorHAnsi" w:hAnsiTheme="minorHAnsi"/>
        </w:rPr>
        <w:t>VAAD</w:t>
      </w:r>
      <w:r w:rsidR="004B6E67" w:rsidRPr="003451C7">
        <w:rPr>
          <w:rFonts w:asciiTheme="minorHAnsi" w:hAnsiTheme="minorHAnsi"/>
        </w:rPr>
        <w:t xml:space="preserve"> </w:t>
      </w:r>
      <w:r w:rsidRPr="003451C7">
        <w:rPr>
          <w:rFonts w:asciiTheme="minorHAnsi" w:hAnsiTheme="minorHAnsi"/>
        </w:rPr>
        <w:t>inspektori, tai skaitā 89,6 % paraugu ir no vietējās izcelsmes materiāla. PVD RD iesūtītie paraugi sastāda 51,0 % no importa paraugu skaita, jeb 1,6 % no kopējā laboratorijā testēto paraugu skaita.</w:t>
      </w:r>
    </w:p>
    <w:p w:rsidR="00164A4B" w:rsidRPr="003451C7" w:rsidRDefault="00164A4B" w:rsidP="003451C7">
      <w:pPr>
        <w:widowControl w:val="0"/>
        <w:spacing w:before="120"/>
        <w:jc w:val="both"/>
        <w:rPr>
          <w:rFonts w:asciiTheme="minorHAnsi" w:hAnsiTheme="minorHAnsi"/>
        </w:rPr>
      </w:pPr>
      <w:r w:rsidRPr="003451C7">
        <w:rPr>
          <w:rFonts w:asciiTheme="minorHAnsi" w:hAnsiTheme="minorHAnsi"/>
        </w:rPr>
        <w:t xml:space="preserve">4. Izrakstītas 3604 Identifikācijas kartiņas (par 447 vairāk nekā 2011.g.) un izsniegti 3577 Testēšanas pārskati (par 271 vairāk nekā 2011. gadā). Uzsākta </w:t>
      </w:r>
      <w:proofErr w:type="spellStart"/>
      <w:r w:rsidRPr="003451C7">
        <w:rPr>
          <w:rFonts w:asciiTheme="minorHAnsi" w:hAnsiTheme="minorHAnsi"/>
          <w:i/>
        </w:rPr>
        <w:t>Giberella</w:t>
      </w:r>
      <w:proofErr w:type="spellEnd"/>
      <w:r w:rsidRPr="003451C7">
        <w:rPr>
          <w:rFonts w:asciiTheme="minorHAnsi" w:hAnsiTheme="minorHAnsi"/>
          <w:i/>
        </w:rPr>
        <w:t xml:space="preserve"> </w:t>
      </w:r>
      <w:proofErr w:type="spellStart"/>
      <w:r w:rsidRPr="003451C7">
        <w:rPr>
          <w:rFonts w:asciiTheme="minorHAnsi" w:hAnsiTheme="minorHAnsi"/>
          <w:i/>
        </w:rPr>
        <w:t>circinata</w:t>
      </w:r>
      <w:proofErr w:type="spellEnd"/>
      <w:r w:rsidRPr="003451C7">
        <w:rPr>
          <w:rFonts w:asciiTheme="minorHAnsi" w:hAnsiTheme="minorHAnsi"/>
        </w:rPr>
        <w:t xml:space="preserve"> noteikšana priežu sēklu paraugos.</w:t>
      </w:r>
    </w:p>
    <w:p w:rsidR="00164A4B" w:rsidRDefault="00164A4B" w:rsidP="00164A4B">
      <w:pPr>
        <w:jc w:val="right"/>
      </w:pPr>
    </w:p>
    <w:tbl>
      <w:tblPr>
        <w:tblW w:w="9348" w:type="dxa"/>
        <w:tblCellMar>
          <w:left w:w="0" w:type="dxa"/>
          <w:right w:w="0" w:type="dxa"/>
        </w:tblCellMar>
        <w:tblLook w:val="04A0" w:firstRow="1" w:lastRow="0" w:firstColumn="1" w:lastColumn="0" w:noHBand="0" w:noVBand="1"/>
      </w:tblPr>
      <w:tblGrid>
        <w:gridCol w:w="1464"/>
        <w:gridCol w:w="1204"/>
        <w:gridCol w:w="799"/>
        <w:gridCol w:w="960"/>
        <w:gridCol w:w="1763"/>
        <w:gridCol w:w="1457"/>
        <w:gridCol w:w="1701"/>
      </w:tblGrid>
      <w:tr w:rsidR="00164A4B" w:rsidRPr="008637DF" w:rsidTr="003451C7">
        <w:tc>
          <w:tcPr>
            <w:tcW w:w="9348" w:type="dxa"/>
            <w:gridSpan w:val="7"/>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b/>
                <w:sz w:val="20"/>
                <w:szCs w:val="20"/>
              </w:rPr>
            </w:pPr>
            <w:r w:rsidRPr="008637DF">
              <w:rPr>
                <w:rFonts w:asciiTheme="minorHAnsi" w:hAnsiTheme="minorHAnsi"/>
                <w:b/>
                <w:sz w:val="20"/>
                <w:szCs w:val="20"/>
              </w:rPr>
              <w:t>2012. gadā laboratorijā testēto paraugu skaits</w:t>
            </w:r>
          </w:p>
        </w:tc>
      </w:tr>
      <w:tr w:rsidR="00164A4B" w:rsidRPr="008637DF" w:rsidTr="003451C7">
        <w:tc>
          <w:tcPr>
            <w:tcW w:w="1464"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Kopā iesūtītie paraugi</w:t>
            </w:r>
          </w:p>
        </w:tc>
        <w:tc>
          <w:tcPr>
            <w:tcW w:w="1204"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Imports </w:t>
            </w:r>
          </w:p>
        </w:tc>
        <w:tc>
          <w:tcPr>
            <w:tcW w:w="799"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ES</w:t>
            </w:r>
          </w:p>
        </w:tc>
        <w:tc>
          <w:tcPr>
            <w:tcW w:w="960"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PVD</w:t>
            </w:r>
          </w:p>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RD</w:t>
            </w:r>
          </w:p>
        </w:tc>
        <w:tc>
          <w:tcPr>
            <w:tcW w:w="1763"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Privātpersonas un firmu pārstāvji</w:t>
            </w:r>
          </w:p>
        </w:tc>
        <w:tc>
          <w:tcPr>
            <w:tcW w:w="1457"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8637DF">
            <w:pPr>
              <w:widowControl w:val="0"/>
              <w:spacing w:line="285" w:lineRule="auto"/>
              <w:jc w:val="center"/>
              <w:rPr>
                <w:rFonts w:asciiTheme="minorHAnsi" w:hAnsiTheme="minorHAnsi"/>
                <w:sz w:val="20"/>
                <w:szCs w:val="20"/>
              </w:rPr>
            </w:pPr>
            <w:r w:rsidRPr="008637DF">
              <w:rPr>
                <w:rFonts w:asciiTheme="minorHAnsi" w:hAnsiTheme="minorHAnsi"/>
                <w:sz w:val="20"/>
                <w:szCs w:val="20"/>
              </w:rPr>
              <w:t>Prognožu speciāli</w:t>
            </w:r>
            <w:r w:rsidR="008637DF">
              <w:rPr>
                <w:rFonts w:asciiTheme="minorHAnsi" w:hAnsiTheme="minorHAnsi"/>
                <w:sz w:val="20"/>
                <w:szCs w:val="20"/>
              </w:rPr>
              <w:t>s</w:t>
            </w:r>
            <w:r w:rsidRPr="008637DF">
              <w:rPr>
                <w:rFonts w:asciiTheme="minorHAnsi" w:hAnsiTheme="minorHAnsi"/>
                <w:sz w:val="20"/>
                <w:szCs w:val="20"/>
              </w:rPr>
              <w:t>ti</w:t>
            </w:r>
          </w:p>
        </w:tc>
        <w:tc>
          <w:tcPr>
            <w:tcW w:w="1701" w:type="dxa"/>
            <w:tcBorders>
              <w:top w:val="single" w:sz="8" w:space="0" w:color="31849B" w:themeColor="accent5" w:themeShade="BF"/>
              <w:bottom w:val="single" w:sz="8" w:space="0" w:color="31849B" w:themeColor="accent5" w:themeShade="BF"/>
            </w:tcBorders>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Vietējie</w:t>
            </w:r>
          </w:p>
        </w:tc>
      </w:tr>
      <w:tr w:rsidR="00164A4B" w:rsidRPr="008637DF" w:rsidTr="003451C7">
        <w:trPr>
          <w:trHeight w:val="105"/>
        </w:trPr>
        <w:tc>
          <w:tcPr>
            <w:tcW w:w="1464"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4561</w:t>
            </w:r>
          </w:p>
        </w:tc>
        <w:tc>
          <w:tcPr>
            <w:tcW w:w="1204"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70</w:t>
            </w:r>
          </w:p>
        </w:tc>
        <w:tc>
          <w:tcPr>
            <w:tcW w:w="799"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94</w:t>
            </w:r>
          </w:p>
        </w:tc>
        <w:tc>
          <w:tcPr>
            <w:tcW w:w="960"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73</w:t>
            </w:r>
          </w:p>
        </w:tc>
        <w:tc>
          <w:tcPr>
            <w:tcW w:w="1763"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234</w:t>
            </w:r>
          </w:p>
        </w:tc>
        <w:tc>
          <w:tcPr>
            <w:tcW w:w="1457" w:type="dxa"/>
            <w:tcBorders>
              <w:top w:val="single" w:sz="8" w:space="0" w:color="31849B" w:themeColor="accent5" w:themeShade="BF"/>
              <w:bottom w:val="single" w:sz="8" w:space="0" w:color="31849B" w:themeColor="accent5" w:themeShade="BF"/>
            </w:tcBorders>
            <w:tcMar>
              <w:top w:w="0" w:type="dxa"/>
              <w:left w:w="108" w:type="dxa"/>
              <w:bottom w:w="0" w:type="dxa"/>
              <w:right w:w="108" w:type="dxa"/>
            </w:tcMar>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41</w:t>
            </w:r>
          </w:p>
        </w:tc>
        <w:tc>
          <w:tcPr>
            <w:tcW w:w="1701" w:type="dxa"/>
            <w:tcBorders>
              <w:top w:val="single" w:sz="8" w:space="0" w:color="31849B" w:themeColor="accent5" w:themeShade="BF"/>
              <w:bottom w:val="single" w:sz="8" w:space="0" w:color="31849B" w:themeColor="accent5" w:themeShade="BF"/>
            </w:tcBorders>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4049</w:t>
            </w:r>
          </w:p>
        </w:tc>
      </w:tr>
    </w:tbl>
    <w:p w:rsidR="00164A4B" w:rsidRDefault="00164A4B" w:rsidP="00164A4B">
      <w:pPr>
        <w:jc w:val="center"/>
        <w:rPr>
          <w:b/>
          <w:bCs/>
        </w:rPr>
      </w:pPr>
    </w:p>
    <w:p w:rsidR="00164A4B" w:rsidRDefault="00164A4B" w:rsidP="00164A4B">
      <w:pPr>
        <w:jc w:val="center"/>
        <w:rPr>
          <w:b/>
          <w:bCs/>
        </w:rPr>
      </w:pPr>
    </w:p>
    <w:p w:rsidR="00164A4B" w:rsidRPr="003451C7" w:rsidRDefault="00164A4B" w:rsidP="003451C7">
      <w:pPr>
        <w:shd w:val="clear" w:color="auto" w:fill="DAEEF3" w:themeFill="accent5" w:themeFillTint="33"/>
        <w:jc w:val="both"/>
        <w:rPr>
          <w:rFonts w:asciiTheme="minorHAnsi" w:hAnsiTheme="minorHAnsi"/>
        </w:rPr>
      </w:pPr>
      <w:r w:rsidRPr="003451C7">
        <w:rPr>
          <w:rFonts w:asciiTheme="minorHAnsi" w:hAnsiTheme="minorHAnsi"/>
        </w:rPr>
        <w:t>Veikta paraugu testēšana pa jomām</w:t>
      </w:r>
    </w:p>
    <w:tbl>
      <w:tblPr>
        <w:tblW w:w="8595" w:type="dxa"/>
        <w:tblInd w:w="-20" w:type="dxa"/>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4A0" w:firstRow="1" w:lastRow="0" w:firstColumn="1" w:lastColumn="0" w:noHBand="0" w:noVBand="1"/>
      </w:tblPr>
      <w:tblGrid>
        <w:gridCol w:w="5533"/>
        <w:gridCol w:w="3062"/>
      </w:tblGrid>
      <w:tr w:rsidR="00164A4B" w:rsidRPr="008637DF" w:rsidTr="00CD3004">
        <w:trPr>
          <w:trHeight w:val="612"/>
        </w:trPr>
        <w:tc>
          <w:tcPr>
            <w:tcW w:w="5533" w:type="dxa"/>
          </w:tcPr>
          <w:p w:rsidR="00164A4B" w:rsidRPr="008637DF" w:rsidRDefault="00164A4B" w:rsidP="003451C7">
            <w:pPr>
              <w:widowControl w:val="0"/>
              <w:spacing w:line="285" w:lineRule="auto"/>
              <w:jc w:val="center"/>
              <w:rPr>
                <w:rFonts w:asciiTheme="minorHAnsi" w:hAnsiTheme="minorHAnsi"/>
                <w:b/>
                <w:sz w:val="20"/>
                <w:szCs w:val="20"/>
              </w:rPr>
            </w:pPr>
            <w:r w:rsidRPr="008637DF">
              <w:rPr>
                <w:rFonts w:asciiTheme="minorHAnsi" w:hAnsiTheme="minorHAnsi"/>
                <w:b/>
                <w:sz w:val="20"/>
                <w:szCs w:val="20"/>
              </w:rPr>
              <w:t>Laboratorijas</w:t>
            </w:r>
          </w:p>
          <w:p w:rsidR="00164A4B" w:rsidRPr="008637DF" w:rsidRDefault="00164A4B" w:rsidP="003451C7">
            <w:pPr>
              <w:widowControl w:val="0"/>
              <w:spacing w:line="285" w:lineRule="auto"/>
              <w:jc w:val="center"/>
              <w:rPr>
                <w:rFonts w:asciiTheme="minorHAnsi" w:hAnsiTheme="minorHAnsi"/>
                <w:b/>
                <w:sz w:val="20"/>
                <w:szCs w:val="20"/>
              </w:rPr>
            </w:pPr>
            <w:r w:rsidRPr="008637DF">
              <w:rPr>
                <w:rFonts w:asciiTheme="minorHAnsi" w:hAnsiTheme="minorHAnsi"/>
                <w:b/>
                <w:sz w:val="20"/>
                <w:szCs w:val="20"/>
              </w:rPr>
              <w:t>joma</w:t>
            </w:r>
          </w:p>
        </w:tc>
        <w:tc>
          <w:tcPr>
            <w:tcW w:w="3062" w:type="dxa"/>
            <w:hideMark/>
          </w:tcPr>
          <w:p w:rsidR="00164A4B" w:rsidRPr="008637DF" w:rsidRDefault="00164A4B" w:rsidP="003451C7">
            <w:pPr>
              <w:widowControl w:val="0"/>
              <w:spacing w:line="285" w:lineRule="auto"/>
              <w:jc w:val="both"/>
              <w:rPr>
                <w:rFonts w:asciiTheme="minorHAnsi" w:hAnsiTheme="minorHAnsi"/>
                <w:b/>
                <w:sz w:val="20"/>
                <w:szCs w:val="20"/>
              </w:rPr>
            </w:pPr>
            <w:r w:rsidRPr="008637DF">
              <w:rPr>
                <w:rFonts w:asciiTheme="minorHAnsi" w:hAnsiTheme="minorHAnsi"/>
                <w:b/>
                <w:sz w:val="20"/>
                <w:szCs w:val="20"/>
              </w:rPr>
              <w:t>Veikto testu/ paraugu skaits 2012</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Virusoloģija</w:t>
            </w:r>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871</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Bakterioloģija</w:t>
            </w:r>
          </w:p>
        </w:tc>
        <w:tc>
          <w:tcPr>
            <w:tcW w:w="3062" w:type="dxa"/>
            <w:hideMark/>
          </w:tcPr>
          <w:p w:rsidR="00164A4B" w:rsidRPr="008637DF" w:rsidRDefault="00164A4B" w:rsidP="003451C7">
            <w:pPr>
              <w:widowControl w:val="0"/>
              <w:snapToGrid w:val="0"/>
              <w:spacing w:line="285" w:lineRule="auto"/>
              <w:jc w:val="center"/>
              <w:rPr>
                <w:rFonts w:asciiTheme="minorHAnsi" w:hAnsiTheme="minorHAnsi"/>
                <w:sz w:val="20"/>
                <w:szCs w:val="20"/>
              </w:rPr>
            </w:pPr>
            <w:r w:rsidRPr="008637DF">
              <w:rPr>
                <w:rFonts w:asciiTheme="minorHAnsi" w:hAnsiTheme="minorHAnsi"/>
                <w:sz w:val="20"/>
                <w:szCs w:val="20"/>
              </w:rPr>
              <w:t>2232</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Mikoloģija</w:t>
            </w:r>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693</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proofErr w:type="spellStart"/>
            <w:r w:rsidRPr="008637DF">
              <w:rPr>
                <w:rFonts w:asciiTheme="minorHAnsi" w:hAnsiTheme="minorHAnsi"/>
                <w:sz w:val="20"/>
                <w:szCs w:val="20"/>
              </w:rPr>
              <w:t>Nematoloģija</w:t>
            </w:r>
            <w:proofErr w:type="spellEnd"/>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7534</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Entomoloģija</w:t>
            </w:r>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525</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proofErr w:type="spellStart"/>
            <w:r w:rsidRPr="008637DF">
              <w:rPr>
                <w:rFonts w:asciiTheme="minorHAnsi" w:hAnsiTheme="minorHAnsi"/>
                <w:sz w:val="20"/>
                <w:szCs w:val="20"/>
              </w:rPr>
              <w:lastRenderedPageBreak/>
              <w:t>Herbaloģija</w:t>
            </w:r>
            <w:proofErr w:type="spellEnd"/>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78</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sz w:val="20"/>
                <w:szCs w:val="20"/>
              </w:rPr>
            </w:pPr>
            <w:proofErr w:type="spellStart"/>
            <w:r w:rsidRPr="008637DF">
              <w:rPr>
                <w:rFonts w:asciiTheme="minorHAnsi" w:hAnsiTheme="minorHAnsi"/>
                <w:sz w:val="20"/>
                <w:szCs w:val="20"/>
              </w:rPr>
              <w:t>Molekulārbioloģija</w:t>
            </w:r>
            <w:proofErr w:type="spellEnd"/>
            <w:r w:rsidRPr="008637DF">
              <w:rPr>
                <w:rFonts w:asciiTheme="minorHAnsi" w:hAnsiTheme="minorHAnsi"/>
                <w:sz w:val="20"/>
                <w:szCs w:val="20"/>
              </w:rPr>
              <w:t xml:space="preserve"> PCR</w:t>
            </w:r>
          </w:p>
        </w:tc>
        <w:tc>
          <w:tcPr>
            <w:tcW w:w="3062" w:type="dxa"/>
            <w:hideMark/>
          </w:tcPr>
          <w:p w:rsidR="00164A4B" w:rsidRPr="008637DF" w:rsidRDefault="00164A4B" w:rsidP="003451C7">
            <w:pPr>
              <w:widowControl w:val="0"/>
              <w:spacing w:line="285" w:lineRule="auto"/>
              <w:jc w:val="center"/>
              <w:rPr>
                <w:rFonts w:asciiTheme="minorHAnsi" w:hAnsiTheme="minorHAnsi"/>
                <w:sz w:val="20"/>
                <w:szCs w:val="20"/>
              </w:rPr>
            </w:pPr>
            <w:r w:rsidRPr="008637DF">
              <w:rPr>
                <w:rFonts w:asciiTheme="minorHAnsi" w:hAnsiTheme="minorHAnsi"/>
                <w:sz w:val="20"/>
                <w:szCs w:val="20"/>
              </w:rPr>
              <w:t>4692</w:t>
            </w:r>
          </w:p>
        </w:tc>
      </w:tr>
      <w:tr w:rsidR="00164A4B" w:rsidRPr="008637DF" w:rsidTr="00CD3004">
        <w:tc>
          <w:tcPr>
            <w:tcW w:w="5533" w:type="dxa"/>
            <w:hideMark/>
          </w:tcPr>
          <w:p w:rsidR="00164A4B" w:rsidRPr="008637DF" w:rsidRDefault="00164A4B" w:rsidP="003451C7">
            <w:pPr>
              <w:widowControl w:val="0"/>
              <w:spacing w:line="285" w:lineRule="auto"/>
              <w:jc w:val="center"/>
              <w:rPr>
                <w:rFonts w:asciiTheme="minorHAnsi" w:hAnsiTheme="minorHAnsi"/>
                <w:b/>
                <w:sz w:val="20"/>
                <w:szCs w:val="20"/>
              </w:rPr>
            </w:pPr>
            <w:r w:rsidRPr="008637DF">
              <w:rPr>
                <w:rFonts w:asciiTheme="minorHAnsi" w:hAnsiTheme="minorHAnsi"/>
                <w:b/>
                <w:sz w:val="20"/>
                <w:szCs w:val="20"/>
              </w:rPr>
              <w:t>Kopā</w:t>
            </w:r>
          </w:p>
        </w:tc>
        <w:tc>
          <w:tcPr>
            <w:tcW w:w="3062" w:type="dxa"/>
            <w:hideMark/>
          </w:tcPr>
          <w:p w:rsidR="00164A4B" w:rsidRPr="008637DF" w:rsidRDefault="00164A4B" w:rsidP="003451C7">
            <w:pPr>
              <w:widowControl w:val="0"/>
              <w:spacing w:line="285" w:lineRule="auto"/>
              <w:jc w:val="center"/>
              <w:rPr>
                <w:rFonts w:asciiTheme="minorHAnsi" w:hAnsiTheme="minorHAnsi"/>
                <w:b/>
                <w:sz w:val="20"/>
                <w:szCs w:val="20"/>
              </w:rPr>
            </w:pPr>
            <w:r w:rsidRPr="008637DF">
              <w:rPr>
                <w:rFonts w:asciiTheme="minorHAnsi" w:hAnsiTheme="minorHAnsi"/>
                <w:b/>
                <w:sz w:val="20"/>
                <w:szCs w:val="20"/>
              </w:rPr>
              <w:t>166625</w:t>
            </w:r>
          </w:p>
        </w:tc>
      </w:tr>
    </w:tbl>
    <w:p w:rsidR="00164A4B" w:rsidRPr="008637DF" w:rsidRDefault="00164A4B" w:rsidP="00164A4B">
      <w:pPr>
        <w:jc w:val="both"/>
        <w:rPr>
          <w:sz w:val="12"/>
          <w:szCs w:val="12"/>
        </w:rPr>
      </w:pPr>
    </w:p>
    <w:p w:rsidR="00164A4B" w:rsidRDefault="00164A4B" w:rsidP="00164A4B">
      <w:pPr>
        <w:ind w:firstLine="720"/>
        <w:jc w:val="both"/>
      </w:pPr>
    </w:p>
    <w:tbl>
      <w:tblPr>
        <w:tblW w:w="8670" w:type="dxa"/>
        <w:tblInd w:w="-72" w:type="dxa"/>
        <w:tblBorders>
          <w:top w:val="single" w:sz="8" w:space="0" w:color="31849B" w:themeColor="accent5" w:themeShade="BF"/>
          <w:bottom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firstRow="1" w:lastRow="0" w:firstColumn="1" w:lastColumn="0" w:noHBand="0" w:noVBand="1"/>
      </w:tblPr>
      <w:tblGrid>
        <w:gridCol w:w="1182"/>
        <w:gridCol w:w="4398"/>
        <w:gridCol w:w="3090"/>
      </w:tblGrid>
      <w:tr w:rsidR="00164A4B" w:rsidRPr="008637DF" w:rsidTr="00DB586F">
        <w:tc>
          <w:tcPr>
            <w:tcW w:w="8670" w:type="dxa"/>
            <w:gridSpan w:val="3"/>
            <w:hideMark/>
          </w:tcPr>
          <w:p w:rsidR="00164A4B" w:rsidRPr="008637DF" w:rsidRDefault="00164A4B" w:rsidP="00CD3004">
            <w:pPr>
              <w:shd w:val="clear" w:color="auto" w:fill="DAEEF3" w:themeFill="accent5" w:themeFillTint="33"/>
              <w:jc w:val="both"/>
              <w:rPr>
                <w:rFonts w:asciiTheme="minorHAnsi" w:hAnsiTheme="minorHAnsi"/>
                <w:b/>
                <w:sz w:val="20"/>
                <w:szCs w:val="20"/>
              </w:rPr>
            </w:pPr>
            <w:r w:rsidRPr="008637DF">
              <w:rPr>
                <w:rFonts w:asciiTheme="minorHAnsi" w:hAnsiTheme="minorHAnsi"/>
              </w:rPr>
              <w:t>2012. gadā konstatētie karantīnas organismi</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b/>
                <w:sz w:val="20"/>
                <w:szCs w:val="20"/>
              </w:rPr>
            </w:pPr>
            <w:proofErr w:type="spellStart"/>
            <w:r w:rsidRPr="008637DF">
              <w:rPr>
                <w:rFonts w:asciiTheme="minorHAnsi" w:hAnsiTheme="minorHAnsi"/>
                <w:b/>
                <w:sz w:val="20"/>
                <w:szCs w:val="20"/>
              </w:rPr>
              <w:t>Nr.p.k</w:t>
            </w:r>
            <w:proofErr w:type="spellEnd"/>
            <w:r w:rsidRPr="008637DF">
              <w:rPr>
                <w:rFonts w:asciiTheme="minorHAnsi" w:hAnsiTheme="minorHAnsi"/>
                <w:b/>
                <w:sz w:val="20"/>
                <w:szCs w:val="20"/>
              </w:rPr>
              <w:t>.</w:t>
            </w:r>
          </w:p>
        </w:tc>
        <w:tc>
          <w:tcPr>
            <w:tcW w:w="4398" w:type="dxa"/>
            <w:hideMark/>
          </w:tcPr>
          <w:p w:rsidR="00164A4B" w:rsidRPr="008637DF" w:rsidRDefault="00164A4B" w:rsidP="00DB586F">
            <w:pPr>
              <w:widowControl w:val="0"/>
              <w:spacing w:line="285" w:lineRule="auto"/>
              <w:jc w:val="center"/>
              <w:rPr>
                <w:rFonts w:asciiTheme="minorHAnsi" w:hAnsiTheme="minorHAnsi"/>
                <w:b/>
                <w:sz w:val="20"/>
                <w:szCs w:val="20"/>
              </w:rPr>
            </w:pPr>
            <w:r w:rsidRPr="008637DF">
              <w:rPr>
                <w:rFonts w:asciiTheme="minorHAnsi" w:hAnsiTheme="minorHAnsi"/>
                <w:b/>
                <w:sz w:val="20"/>
                <w:szCs w:val="20"/>
              </w:rPr>
              <w:t>Organisma nosaukums</w:t>
            </w:r>
          </w:p>
        </w:tc>
        <w:tc>
          <w:tcPr>
            <w:tcW w:w="3090" w:type="dxa"/>
            <w:hideMark/>
          </w:tcPr>
          <w:p w:rsidR="00164A4B" w:rsidRPr="008637DF" w:rsidRDefault="00164A4B" w:rsidP="00DB586F">
            <w:pPr>
              <w:widowControl w:val="0"/>
              <w:spacing w:line="285" w:lineRule="auto"/>
              <w:jc w:val="center"/>
              <w:rPr>
                <w:rFonts w:asciiTheme="minorHAnsi" w:hAnsiTheme="minorHAnsi"/>
                <w:b/>
                <w:sz w:val="20"/>
                <w:szCs w:val="20"/>
              </w:rPr>
            </w:pPr>
            <w:r w:rsidRPr="008637DF">
              <w:rPr>
                <w:rFonts w:asciiTheme="minorHAnsi" w:hAnsiTheme="minorHAnsi"/>
                <w:b/>
                <w:sz w:val="20"/>
                <w:szCs w:val="20"/>
              </w:rPr>
              <w:t>Paraugu skaits</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Globodera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rostochiensis</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40 (mazie paraugi 282)</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2.</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Clavibacter</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michiganensis</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subsp</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sepedonicus</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 16</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3.</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Erwinia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amylovora</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 (Igaunija)</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 xml:space="preserve">4. </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Ditylenchus</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destructor</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11</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5</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Pepino</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Mosaic</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Virus</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6</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6.</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Clavibacter</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michiganensis</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ssp</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michiganensis</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7.</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Bemisia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tabaci</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3 (Izraēla)</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8.</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Liriomyza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sativae</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 (Izraēla)</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9.</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Liriomyza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trifolii</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1(Izraēla)</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10.</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Mycosphaerella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dearnessii</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3</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11.</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Pucinia</w:t>
            </w:r>
            <w:proofErr w:type="spellEnd"/>
            <w:r w:rsidRPr="008637DF">
              <w:rPr>
                <w:rFonts w:asciiTheme="minorHAnsi" w:hAnsiTheme="minorHAnsi"/>
                <w:i/>
                <w:sz w:val="20"/>
                <w:szCs w:val="20"/>
              </w:rPr>
              <w:t xml:space="preserve"> </w:t>
            </w:r>
            <w:proofErr w:type="spellStart"/>
            <w:r w:rsidRPr="008637DF">
              <w:rPr>
                <w:rFonts w:asciiTheme="minorHAnsi" w:hAnsiTheme="minorHAnsi"/>
                <w:i/>
                <w:sz w:val="20"/>
                <w:szCs w:val="20"/>
              </w:rPr>
              <w:t>horiana</w:t>
            </w:r>
            <w:proofErr w:type="spellEnd"/>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5</w:t>
            </w:r>
          </w:p>
        </w:tc>
      </w:tr>
      <w:tr w:rsidR="00164A4B" w:rsidRPr="008637DF" w:rsidTr="00DB586F">
        <w:tc>
          <w:tcPr>
            <w:tcW w:w="1182"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12.</w:t>
            </w:r>
          </w:p>
        </w:tc>
        <w:tc>
          <w:tcPr>
            <w:tcW w:w="4398" w:type="dxa"/>
            <w:hideMark/>
          </w:tcPr>
          <w:p w:rsidR="00164A4B" w:rsidRPr="008637DF" w:rsidRDefault="00164A4B" w:rsidP="00DB586F">
            <w:pPr>
              <w:widowControl w:val="0"/>
              <w:spacing w:line="285" w:lineRule="auto"/>
              <w:rPr>
                <w:rFonts w:asciiTheme="minorHAnsi" w:hAnsiTheme="minorHAnsi"/>
                <w:i/>
                <w:sz w:val="20"/>
                <w:szCs w:val="20"/>
              </w:rPr>
            </w:pPr>
            <w:proofErr w:type="spellStart"/>
            <w:r w:rsidRPr="008637DF">
              <w:rPr>
                <w:rFonts w:asciiTheme="minorHAnsi" w:hAnsiTheme="minorHAnsi"/>
                <w:i/>
                <w:sz w:val="20"/>
                <w:szCs w:val="20"/>
              </w:rPr>
              <w:t>Mycosphaerella</w:t>
            </w:r>
            <w:proofErr w:type="spellEnd"/>
            <w:r w:rsidRPr="008637DF">
              <w:rPr>
                <w:rFonts w:asciiTheme="minorHAnsi" w:hAnsiTheme="minorHAnsi"/>
                <w:i/>
                <w:sz w:val="20"/>
                <w:szCs w:val="20"/>
              </w:rPr>
              <w:t xml:space="preserve"> pini</w:t>
            </w:r>
          </w:p>
        </w:tc>
        <w:tc>
          <w:tcPr>
            <w:tcW w:w="3090" w:type="dxa"/>
            <w:hideMark/>
          </w:tcPr>
          <w:p w:rsidR="00164A4B" w:rsidRPr="008637DF" w:rsidRDefault="00164A4B" w:rsidP="00DB586F">
            <w:pPr>
              <w:widowControl w:val="0"/>
              <w:spacing w:line="285" w:lineRule="auto"/>
              <w:jc w:val="center"/>
              <w:rPr>
                <w:rFonts w:asciiTheme="minorHAnsi" w:hAnsiTheme="minorHAnsi"/>
                <w:sz w:val="20"/>
                <w:szCs w:val="20"/>
              </w:rPr>
            </w:pPr>
            <w:r w:rsidRPr="008637DF">
              <w:rPr>
                <w:rFonts w:asciiTheme="minorHAnsi" w:hAnsiTheme="minorHAnsi"/>
                <w:sz w:val="20"/>
                <w:szCs w:val="20"/>
              </w:rPr>
              <w:t>2</w:t>
            </w:r>
          </w:p>
        </w:tc>
      </w:tr>
      <w:tr w:rsidR="00164A4B" w:rsidRPr="008637DF" w:rsidTr="00DB586F">
        <w:tc>
          <w:tcPr>
            <w:tcW w:w="1182" w:type="dxa"/>
          </w:tcPr>
          <w:p w:rsidR="00164A4B" w:rsidRPr="008637DF" w:rsidRDefault="00164A4B" w:rsidP="00DB586F">
            <w:pPr>
              <w:widowControl w:val="0"/>
              <w:spacing w:line="285" w:lineRule="auto"/>
              <w:jc w:val="center"/>
              <w:rPr>
                <w:rFonts w:asciiTheme="minorHAnsi" w:hAnsiTheme="minorHAnsi"/>
                <w:b/>
                <w:sz w:val="20"/>
                <w:szCs w:val="20"/>
              </w:rPr>
            </w:pPr>
          </w:p>
        </w:tc>
        <w:tc>
          <w:tcPr>
            <w:tcW w:w="4398" w:type="dxa"/>
            <w:hideMark/>
          </w:tcPr>
          <w:p w:rsidR="00164A4B" w:rsidRPr="008637DF" w:rsidRDefault="00164A4B" w:rsidP="00DB586F">
            <w:pPr>
              <w:widowControl w:val="0"/>
              <w:spacing w:line="285" w:lineRule="auto"/>
              <w:jc w:val="center"/>
              <w:rPr>
                <w:rFonts w:asciiTheme="minorHAnsi" w:hAnsiTheme="minorHAnsi"/>
                <w:b/>
                <w:sz w:val="20"/>
                <w:szCs w:val="20"/>
              </w:rPr>
            </w:pPr>
            <w:r w:rsidRPr="008637DF">
              <w:rPr>
                <w:rFonts w:asciiTheme="minorHAnsi" w:hAnsiTheme="minorHAnsi"/>
                <w:b/>
                <w:sz w:val="20"/>
                <w:szCs w:val="20"/>
              </w:rPr>
              <w:t>KOPĀ</w:t>
            </w:r>
          </w:p>
        </w:tc>
        <w:tc>
          <w:tcPr>
            <w:tcW w:w="3090" w:type="dxa"/>
            <w:hideMark/>
          </w:tcPr>
          <w:p w:rsidR="00164A4B" w:rsidRPr="008637DF" w:rsidRDefault="00164A4B" w:rsidP="00DB586F">
            <w:pPr>
              <w:widowControl w:val="0"/>
              <w:spacing w:line="285" w:lineRule="auto"/>
              <w:jc w:val="center"/>
              <w:rPr>
                <w:rFonts w:asciiTheme="minorHAnsi" w:hAnsiTheme="minorHAnsi"/>
                <w:b/>
                <w:sz w:val="20"/>
                <w:szCs w:val="20"/>
              </w:rPr>
            </w:pPr>
            <w:r w:rsidRPr="008637DF">
              <w:rPr>
                <w:rFonts w:asciiTheme="minorHAnsi" w:hAnsiTheme="minorHAnsi"/>
                <w:b/>
                <w:sz w:val="20"/>
                <w:szCs w:val="20"/>
              </w:rPr>
              <w:t>86</w:t>
            </w:r>
          </w:p>
        </w:tc>
      </w:tr>
    </w:tbl>
    <w:p w:rsidR="00164A4B" w:rsidRPr="008637DF" w:rsidRDefault="00164A4B" w:rsidP="00164A4B">
      <w:pPr>
        <w:rPr>
          <w:sz w:val="12"/>
          <w:szCs w:val="12"/>
        </w:rPr>
      </w:pPr>
    </w:p>
    <w:p w:rsidR="008637DF" w:rsidRDefault="008637DF" w:rsidP="008637DF">
      <w:pPr>
        <w:widowControl w:val="0"/>
        <w:jc w:val="both"/>
        <w:rPr>
          <w:rFonts w:asciiTheme="minorHAnsi" w:hAnsiTheme="minorHAnsi"/>
        </w:rPr>
      </w:pPr>
    </w:p>
    <w:p w:rsidR="00164A4B" w:rsidRPr="00DB586F" w:rsidRDefault="00164A4B" w:rsidP="008637DF">
      <w:pPr>
        <w:widowControl w:val="0"/>
        <w:jc w:val="both"/>
        <w:rPr>
          <w:rFonts w:asciiTheme="minorHAnsi" w:hAnsiTheme="minorHAnsi"/>
        </w:rPr>
      </w:pPr>
      <w:r w:rsidRPr="00DB586F">
        <w:rPr>
          <w:rFonts w:asciiTheme="minorHAnsi" w:hAnsiTheme="minorHAnsi"/>
        </w:rPr>
        <w:t>Laboratorija piedalījusies starplaboratoriju salīdzinošajā testēšanā sekojošās jomās:</w:t>
      </w:r>
    </w:p>
    <w:p w:rsidR="00164A4B" w:rsidRPr="00DB586F" w:rsidRDefault="00164A4B" w:rsidP="008637DF">
      <w:pPr>
        <w:pStyle w:val="ListParagraph"/>
        <w:widowControl w:val="0"/>
        <w:numPr>
          <w:ilvl w:val="0"/>
          <w:numId w:val="15"/>
        </w:numPr>
        <w:jc w:val="both"/>
        <w:rPr>
          <w:rFonts w:asciiTheme="minorHAnsi" w:hAnsiTheme="minorHAnsi"/>
        </w:rPr>
      </w:pPr>
      <w:proofErr w:type="spellStart"/>
      <w:r w:rsidRPr="00DB586F">
        <w:rPr>
          <w:rFonts w:asciiTheme="minorHAnsi" w:hAnsiTheme="minorHAnsi"/>
        </w:rPr>
        <w:t>nematoloģijā</w:t>
      </w:r>
      <w:proofErr w:type="spellEnd"/>
      <w:r w:rsidRPr="00DB586F">
        <w:rPr>
          <w:rFonts w:asciiTheme="minorHAnsi" w:hAnsiTheme="minorHAnsi"/>
        </w:rPr>
        <w:t>;</w:t>
      </w:r>
    </w:p>
    <w:p w:rsidR="00164A4B" w:rsidRPr="00DB586F" w:rsidRDefault="00164A4B" w:rsidP="008637DF">
      <w:pPr>
        <w:pStyle w:val="ListParagraph"/>
        <w:widowControl w:val="0"/>
        <w:numPr>
          <w:ilvl w:val="0"/>
          <w:numId w:val="15"/>
        </w:numPr>
        <w:jc w:val="both"/>
        <w:rPr>
          <w:rFonts w:asciiTheme="minorHAnsi" w:hAnsiTheme="minorHAnsi"/>
        </w:rPr>
      </w:pPr>
      <w:r w:rsidRPr="00DB586F">
        <w:rPr>
          <w:rFonts w:asciiTheme="minorHAnsi" w:hAnsiTheme="minorHAnsi"/>
        </w:rPr>
        <w:t>molekulārajā bioloģijā;</w:t>
      </w:r>
    </w:p>
    <w:p w:rsidR="00164A4B" w:rsidRPr="00DB586F" w:rsidRDefault="00164A4B" w:rsidP="008637DF">
      <w:pPr>
        <w:pStyle w:val="ListParagraph"/>
        <w:widowControl w:val="0"/>
        <w:numPr>
          <w:ilvl w:val="0"/>
          <w:numId w:val="15"/>
        </w:numPr>
        <w:jc w:val="both"/>
        <w:rPr>
          <w:rFonts w:asciiTheme="minorHAnsi" w:hAnsiTheme="minorHAnsi"/>
        </w:rPr>
      </w:pPr>
      <w:r w:rsidRPr="00DB586F">
        <w:rPr>
          <w:rFonts w:asciiTheme="minorHAnsi" w:hAnsiTheme="minorHAnsi"/>
        </w:rPr>
        <w:t>mikoloģijā,</w:t>
      </w:r>
    </w:p>
    <w:p w:rsidR="00164A4B" w:rsidRPr="00DB586F" w:rsidRDefault="00164A4B" w:rsidP="008637DF">
      <w:pPr>
        <w:pStyle w:val="ListParagraph"/>
        <w:widowControl w:val="0"/>
        <w:numPr>
          <w:ilvl w:val="0"/>
          <w:numId w:val="15"/>
        </w:numPr>
        <w:jc w:val="both"/>
        <w:rPr>
          <w:rFonts w:asciiTheme="minorHAnsi" w:hAnsiTheme="minorHAnsi"/>
        </w:rPr>
      </w:pPr>
      <w:r w:rsidRPr="00DB586F">
        <w:rPr>
          <w:rFonts w:asciiTheme="minorHAnsi" w:hAnsiTheme="minorHAnsi"/>
        </w:rPr>
        <w:t xml:space="preserve">bakterioloģijā, </w:t>
      </w:r>
    </w:p>
    <w:p w:rsidR="00164A4B" w:rsidRPr="00DB586F" w:rsidRDefault="00164A4B" w:rsidP="008637DF">
      <w:pPr>
        <w:pStyle w:val="ListParagraph"/>
        <w:widowControl w:val="0"/>
        <w:numPr>
          <w:ilvl w:val="0"/>
          <w:numId w:val="15"/>
        </w:numPr>
        <w:jc w:val="both"/>
        <w:rPr>
          <w:rFonts w:asciiTheme="minorHAnsi" w:hAnsiTheme="minorHAnsi"/>
        </w:rPr>
      </w:pPr>
      <w:r w:rsidRPr="00DB586F">
        <w:rPr>
          <w:rFonts w:asciiTheme="minorHAnsi" w:hAnsiTheme="minorHAnsi"/>
        </w:rPr>
        <w:t>entomoloģijā</w:t>
      </w:r>
    </w:p>
    <w:p w:rsidR="00164A4B" w:rsidRPr="00DB586F" w:rsidRDefault="00164A4B" w:rsidP="00DB586F">
      <w:pPr>
        <w:widowControl w:val="0"/>
        <w:spacing w:before="120"/>
        <w:jc w:val="both"/>
        <w:rPr>
          <w:rFonts w:asciiTheme="minorHAnsi" w:hAnsiTheme="minorHAnsi"/>
        </w:rPr>
      </w:pPr>
      <w:r w:rsidRPr="00DB586F">
        <w:rPr>
          <w:rFonts w:asciiTheme="minorHAnsi" w:hAnsiTheme="minorHAnsi"/>
        </w:rPr>
        <w:t xml:space="preserve">Laboratorija piedalījusies EUPH03 Starplaboratoriju testēšana Nr. 3 </w:t>
      </w:r>
      <w:proofErr w:type="spellStart"/>
      <w:r w:rsidRPr="00DB586F">
        <w:rPr>
          <w:rFonts w:asciiTheme="minorHAnsi" w:hAnsiTheme="minorHAnsi"/>
          <w:i/>
        </w:rPr>
        <w:t>Clavibacter</w:t>
      </w:r>
      <w:proofErr w:type="spellEnd"/>
      <w:r w:rsidRPr="00DB586F">
        <w:rPr>
          <w:rFonts w:asciiTheme="minorHAnsi" w:hAnsiTheme="minorHAnsi"/>
          <w:i/>
        </w:rPr>
        <w:t xml:space="preserve"> </w:t>
      </w:r>
      <w:proofErr w:type="spellStart"/>
      <w:r w:rsidRPr="00DB586F">
        <w:rPr>
          <w:rFonts w:asciiTheme="minorHAnsi" w:hAnsiTheme="minorHAnsi"/>
          <w:i/>
        </w:rPr>
        <w:t>michiganensis</w:t>
      </w:r>
      <w:proofErr w:type="spellEnd"/>
      <w:r w:rsidRPr="00DB586F">
        <w:rPr>
          <w:rFonts w:asciiTheme="minorHAnsi" w:hAnsiTheme="minorHAnsi"/>
          <w:i/>
        </w:rPr>
        <w:t xml:space="preserve"> </w:t>
      </w:r>
      <w:proofErr w:type="spellStart"/>
      <w:r w:rsidRPr="00DB586F">
        <w:rPr>
          <w:rFonts w:asciiTheme="minorHAnsi" w:hAnsiTheme="minorHAnsi"/>
          <w:i/>
        </w:rPr>
        <w:t>subsp</w:t>
      </w:r>
      <w:proofErr w:type="spellEnd"/>
      <w:r w:rsidRPr="00DB586F">
        <w:rPr>
          <w:rFonts w:asciiTheme="minorHAnsi" w:hAnsiTheme="minorHAnsi"/>
          <w:i/>
        </w:rPr>
        <w:t xml:space="preserve">. </w:t>
      </w:r>
      <w:proofErr w:type="spellStart"/>
      <w:r w:rsidRPr="00DB586F">
        <w:rPr>
          <w:rFonts w:asciiTheme="minorHAnsi" w:hAnsiTheme="minorHAnsi"/>
          <w:i/>
        </w:rPr>
        <w:t>sepedonicus</w:t>
      </w:r>
      <w:proofErr w:type="spellEnd"/>
      <w:r w:rsidRPr="00DB586F">
        <w:rPr>
          <w:rFonts w:asciiTheme="minorHAnsi" w:hAnsiTheme="minorHAnsi"/>
          <w:i/>
        </w:rPr>
        <w:t xml:space="preserve"> un </w:t>
      </w:r>
      <w:proofErr w:type="spellStart"/>
      <w:r w:rsidRPr="00DB586F">
        <w:rPr>
          <w:rFonts w:asciiTheme="minorHAnsi" w:hAnsiTheme="minorHAnsi"/>
          <w:i/>
        </w:rPr>
        <w:t>Ralstonia</w:t>
      </w:r>
      <w:proofErr w:type="spellEnd"/>
      <w:r w:rsidRPr="00DB586F">
        <w:rPr>
          <w:rFonts w:asciiTheme="minorHAnsi" w:hAnsiTheme="minorHAnsi"/>
          <w:i/>
        </w:rPr>
        <w:t xml:space="preserve"> </w:t>
      </w:r>
      <w:proofErr w:type="spellStart"/>
      <w:r w:rsidRPr="00DB586F">
        <w:rPr>
          <w:rFonts w:asciiTheme="minorHAnsi" w:hAnsiTheme="minorHAnsi"/>
          <w:i/>
        </w:rPr>
        <w:t>solanacearum</w:t>
      </w:r>
      <w:proofErr w:type="spellEnd"/>
      <w:r w:rsidRPr="00DB586F">
        <w:rPr>
          <w:rFonts w:asciiTheme="minorHAnsi" w:hAnsiTheme="minorHAnsi"/>
          <w:i/>
        </w:rPr>
        <w:t xml:space="preserve"> </w:t>
      </w:r>
      <w:r w:rsidRPr="00DB586F">
        <w:rPr>
          <w:rFonts w:asciiTheme="minorHAnsi" w:hAnsiTheme="minorHAnsi"/>
        </w:rPr>
        <w:t>noteikšanai kartupeļu bumbuļu ekstraktā. Rezultāti sakrīt. (Bakterioloģija un molekulārā bioloģija).</w:t>
      </w:r>
    </w:p>
    <w:p w:rsidR="00164A4B" w:rsidRPr="00DB586F" w:rsidRDefault="00164A4B" w:rsidP="00DB586F">
      <w:pPr>
        <w:widowControl w:val="0"/>
        <w:spacing w:before="120"/>
        <w:jc w:val="both"/>
        <w:rPr>
          <w:rFonts w:asciiTheme="minorHAnsi" w:hAnsiTheme="minorHAnsi"/>
        </w:rPr>
      </w:pPr>
      <w:r w:rsidRPr="00DB586F">
        <w:rPr>
          <w:rFonts w:asciiTheme="minorHAnsi" w:hAnsiTheme="minorHAnsi"/>
        </w:rPr>
        <w:t xml:space="preserve">Noorganizēta salīdzinošā testēšana ar Igaunijas entomologu par </w:t>
      </w:r>
      <w:proofErr w:type="spellStart"/>
      <w:r w:rsidRPr="00DB586F">
        <w:rPr>
          <w:rFonts w:asciiTheme="minorHAnsi" w:hAnsiTheme="minorHAnsi"/>
          <w:i/>
        </w:rPr>
        <w:t>Liriomyza</w:t>
      </w:r>
      <w:proofErr w:type="spellEnd"/>
      <w:r w:rsidRPr="00DB586F">
        <w:rPr>
          <w:rFonts w:asciiTheme="minorHAnsi" w:hAnsiTheme="minorHAnsi"/>
          <w:i/>
        </w:rPr>
        <w:t xml:space="preserve"> </w:t>
      </w:r>
      <w:proofErr w:type="spellStart"/>
      <w:r w:rsidRPr="00DB586F">
        <w:rPr>
          <w:rFonts w:asciiTheme="minorHAnsi" w:hAnsiTheme="minorHAnsi"/>
          <w:i/>
        </w:rPr>
        <w:t>huidobrensis</w:t>
      </w:r>
      <w:proofErr w:type="spellEnd"/>
      <w:r w:rsidRPr="00DB586F">
        <w:rPr>
          <w:rFonts w:asciiTheme="minorHAnsi" w:hAnsiTheme="minorHAnsi"/>
          <w:i/>
        </w:rPr>
        <w:t xml:space="preserve">, </w:t>
      </w:r>
      <w:proofErr w:type="spellStart"/>
      <w:r w:rsidRPr="00DB586F">
        <w:rPr>
          <w:rFonts w:asciiTheme="minorHAnsi" w:hAnsiTheme="minorHAnsi"/>
          <w:i/>
        </w:rPr>
        <w:t>Liriomyza</w:t>
      </w:r>
      <w:proofErr w:type="spellEnd"/>
      <w:r w:rsidRPr="00DB586F">
        <w:rPr>
          <w:rFonts w:asciiTheme="minorHAnsi" w:hAnsiTheme="minorHAnsi"/>
          <w:i/>
        </w:rPr>
        <w:t xml:space="preserve"> </w:t>
      </w:r>
      <w:proofErr w:type="spellStart"/>
      <w:r w:rsidRPr="00DB586F">
        <w:rPr>
          <w:rFonts w:asciiTheme="minorHAnsi" w:hAnsiTheme="minorHAnsi"/>
          <w:i/>
        </w:rPr>
        <w:t>sativae</w:t>
      </w:r>
      <w:proofErr w:type="spellEnd"/>
      <w:r w:rsidRPr="00DB586F">
        <w:rPr>
          <w:rFonts w:asciiTheme="minorHAnsi" w:hAnsiTheme="minorHAnsi"/>
          <w:i/>
        </w:rPr>
        <w:t xml:space="preserve">, </w:t>
      </w:r>
      <w:proofErr w:type="spellStart"/>
      <w:r w:rsidRPr="00DB586F">
        <w:rPr>
          <w:rFonts w:asciiTheme="minorHAnsi" w:hAnsiTheme="minorHAnsi"/>
          <w:i/>
        </w:rPr>
        <w:t>Liriomyza</w:t>
      </w:r>
      <w:proofErr w:type="spellEnd"/>
      <w:r w:rsidRPr="00DB586F">
        <w:rPr>
          <w:rFonts w:asciiTheme="minorHAnsi" w:hAnsiTheme="minorHAnsi"/>
          <w:i/>
        </w:rPr>
        <w:t xml:space="preserve"> </w:t>
      </w:r>
      <w:proofErr w:type="spellStart"/>
      <w:r w:rsidRPr="00DB586F">
        <w:rPr>
          <w:rFonts w:asciiTheme="minorHAnsi" w:hAnsiTheme="minorHAnsi"/>
          <w:i/>
        </w:rPr>
        <w:t>bryoniae</w:t>
      </w:r>
      <w:proofErr w:type="spellEnd"/>
      <w:r w:rsidRPr="00DB586F">
        <w:rPr>
          <w:rFonts w:asciiTheme="minorHAnsi" w:hAnsiTheme="minorHAnsi"/>
          <w:i/>
        </w:rPr>
        <w:t xml:space="preserve">, </w:t>
      </w:r>
      <w:proofErr w:type="spellStart"/>
      <w:r w:rsidRPr="00DB586F">
        <w:rPr>
          <w:rFonts w:asciiTheme="minorHAnsi" w:hAnsiTheme="minorHAnsi"/>
          <w:i/>
        </w:rPr>
        <w:t>Bemisia</w:t>
      </w:r>
      <w:proofErr w:type="spellEnd"/>
      <w:r w:rsidRPr="00DB586F">
        <w:rPr>
          <w:rFonts w:asciiTheme="minorHAnsi" w:hAnsiTheme="minorHAnsi"/>
          <w:i/>
        </w:rPr>
        <w:t xml:space="preserve"> </w:t>
      </w:r>
      <w:proofErr w:type="spellStart"/>
      <w:r w:rsidRPr="00DB586F">
        <w:rPr>
          <w:rFonts w:asciiTheme="minorHAnsi" w:hAnsiTheme="minorHAnsi"/>
          <w:i/>
        </w:rPr>
        <w:t>tabaci</w:t>
      </w:r>
      <w:proofErr w:type="spellEnd"/>
      <w:r w:rsidRPr="00DB586F">
        <w:rPr>
          <w:rFonts w:asciiTheme="minorHAnsi" w:hAnsiTheme="minorHAnsi"/>
        </w:rPr>
        <w:t>.</w:t>
      </w:r>
    </w:p>
    <w:p w:rsidR="00164A4B" w:rsidRPr="00DB586F" w:rsidRDefault="00164A4B" w:rsidP="00DB586F">
      <w:pPr>
        <w:widowControl w:val="0"/>
        <w:spacing w:before="120"/>
        <w:jc w:val="both"/>
        <w:rPr>
          <w:rFonts w:asciiTheme="minorHAnsi" w:hAnsiTheme="minorHAnsi"/>
        </w:rPr>
      </w:pPr>
    </w:p>
    <w:p w:rsidR="00164A4B" w:rsidRDefault="00164A4B" w:rsidP="00164A4B">
      <w:pPr>
        <w:ind w:left="720" w:hanging="375"/>
        <w:jc w:val="center"/>
        <w:rPr>
          <w:b/>
          <w:bCs/>
          <w:u w:val="single"/>
        </w:rPr>
      </w:pPr>
    </w:p>
    <w:p w:rsidR="005C155C" w:rsidRDefault="005C155C">
      <w:pPr>
        <w:rPr>
          <w:rFonts w:asciiTheme="minorHAnsi" w:hAnsiTheme="minorHAnsi"/>
        </w:rPr>
      </w:pPr>
      <w:r>
        <w:rPr>
          <w:rFonts w:asciiTheme="minorHAnsi" w:hAnsiTheme="minorHAnsi"/>
        </w:rPr>
        <w:br w:type="page"/>
      </w:r>
    </w:p>
    <w:p w:rsidR="00164A4B" w:rsidRPr="00DB586F" w:rsidRDefault="00164A4B" w:rsidP="00DB586F">
      <w:pPr>
        <w:widowControl w:val="0"/>
        <w:spacing w:before="120"/>
        <w:jc w:val="both"/>
        <w:rPr>
          <w:rFonts w:asciiTheme="minorHAnsi" w:hAnsiTheme="minorHAnsi"/>
        </w:rPr>
      </w:pPr>
    </w:p>
    <w:p w:rsidR="00966F20" w:rsidRDefault="00966F20" w:rsidP="00212C58">
      <w:pPr>
        <w:pStyle w:val="Heading3"/>
      </w:pPr>
      <w:bookmarkStart w:id="28" w:name="_Toc364414724"/>
      <w:bookmarkStart w:id="29" w:name="_Toc364414866"/>
      <w:r>
        <w:t>4.</w:t>
      </w:r>
      <w:r w:rsidR="004A3B88">
        <w:t>3</w:t>
      </w:r>
      <w:r>
        <w:t xml:space="preserve">. </w:t>
      </w:r>
      <w:r w:rsidRPr="00966F20">
        <w:t>Sēklu sertifikācija, sēklu aprites uzraudzība, selekcionāru tiesības un Latvijas augu šķirņu kataloga veidošana</w:t>
      </w:r>
      <w:bookmarkEnd w:id="28"/>
      <w:bookmarkEnd w:id="29"/>
      <w:r w:rsidRPr="004E6BD8">
        <w:t xml:space="preserve"> </w:t>
      </w:r>
    </w:p>
    <w:p w:rsidR="00966F20" w:rsidRPr="008637DF" w:rsidRDefault="00966F20" w:rsidP="00966F20">
      <w:pPr>
        <w:spacing w:before="120"/>
        <w:ind w:firstLine="345"/>
        <w:jc w:val="center"/>
        <w:rPr>
          <w:rFonts w:asciiTheme="minorHAnsi" w:hAnsiTheme="minorHAnsi"/>
          <w:bCs/>
          <w:sz w:val="12"/>
          <w:szCs w:val="12"/>
        </w:rPr>
      </w:pPr>
    </w:p>
    <w:p w:rsidR="00966F20" w:rsidRPr="005C29DC" w:rsidRDefault="00966F20" w:rsidP="00966F20">
      <w:pPr>
        <w:widowControl w:val="0"/>
        <w:shd w:val="clear" w:color="auto" w:fill="EAF1DD" w:themeFill="accent3" w:themeFillTint="33"/>
        <w:spacing w:before="120"/>
        <w:jc w:val="both"/>
        <w:rPr>
          <w:rFonts w:asciiTheme="minorHAnsi" w:hAnsiTheme="minorHAnsi"/>
          <w:sz w:val="28"/>
        </w:rPr>
      </w:pPr>
      <w:r w:rsidRPr="005C29DC">
        <w:rPr>
          <w:rFonts w:asciiTheme="minorHAnsi" w:hAnsiTheme="minorHAnsi"/>
          <w:sz w:val="28"/>
        </w:rPr>
        <w:t xml:space="preserve">Izmaiņas </w:t>
      </w:r>
      <w:r w:rsidR="004A3B88">
        <w:rPr>
          <w:rFonts w:asciiTheme="minorHAnsi" w:hAnsiTheme="minorHAnsi"/>
          <w:sz w:val="28"/>
        </w:rPr>
        <w:t>2012.</w:t>
      </w:r>
      <w:r w:rsidRPr="005C29DC">
        <w:rPr>
          <w:rFonts w:asciiTheme="minorHAnsi" w:hAnsiTheme="minorHAnsi"/>
          <w:sz w:val="28"/>
        </w:rPr>
        <w:t>gadā</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b/>
        </w:rPr>
        <w:t>Sēklu sertifikācijas un šķirņu aprites mērķis</w:t>
      </w:r>
      <w:r w:rsidRPr="00966F20">
        <w:rPr>
          <w:rFonts w:asciiTheme="minorHAnsi" w:hAnsiTheme="minorHAnsi"/>
        </w:rPr>
        <w:t xml:space="preserve"> ir aizsargāt patērētājus no nekvalitatīvu sēklu lietošanas sējai un reglamentēt lauksaimniecības kultūraugu, dārzeņu, augļu koku un ogulāju šķirņu apriti, kā arī nodrošināt selekcionāru tiesību piešķiršanu un aizsardzību. Mērķa sasniegšanai ir ieviesta un darbojas Eiropas Savienības un starptautiskajām (OECD, ISTA, UPOV, CPVO) prasībām atbilstoša sēklu un šķirņu aprites sistēma, kas ietver sēklaudzēšanas sējumu lauku apskašu veikšanu, sēklu kvalitatīvo īpašību noteikšanu starptautiski akreditētā laboratorijā un sēklu identitātes un tīrības noteikšanu lauka pēcpārbaudē, Latvijas augu šķirņu kataloga veidošanu un uzturēšanu, kā arī Latvijas aizsargāto augu šķirņu valsts reģistra veidošanu un uzturēšanu.</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2012.gada janvārī Nacionālajā sēklu kontroles laboratorijā (NSKL) notika Starptautiskās sēklu kontroles asociācijas (ISTA) </w:t>
      </w:r>
      <w:proofErr w:type="spellStart"/>
      <w:r w:rsidRPr="00966F20">
        <w:rPr>
          <w:rFonts w:asciiTheme="minorHAnsi" w:hAnsiTheme="minorHAnsi"/>
        </w:rPr>
        <w:t>pārakreditācijas</w:t>
      </w:r>
      <w:proofErr w:type="spellEnd"/>
      <w:r w:rsidRPr="00966F20">
        <w:rPr>
          <w:rFonts w:asciiTheme="minorHAnsi" w:hAnsiTheme="minorHAnsi"/>
        </w:rPr>
        <w:t xml:space="preserve"> audits. Laboratorija izvirzīja sev mērķi paplašināt savu kompetenci un iegūt akreditāciju arī sēklu veselīguma analīžu veikšanai liniem un miežiem. Pēc audita sagatavots un nosūtīts ISTA Sekretariātam pārskats par veiktajiem pasākumiem, novēršot audita procesā konstatētās neatbilstības. 2012.</w:t>
      </w:r>
      <w:r w:rsidR="00966F20">
        <w:rPr>
          <w:rFonts w:asciiTheme="minorHAnsi" w:hAnsiTheme="minorHAnsi"/>
        </w:rPr>
        <w:t>gada</w:t>
      </w:r>
      <w:r w:rsidRPr="00966F20">
        <w:rPr>
          <w:rFonts w:asciiTheme="minorHAnsi" w:hAnsiTheme="minorHAnsi"/>
        </w:rPr>
        <w:t xml:space="preserve"> </w:t>
      </w:r>
      <w:r w:rsidR="00966F20" w:rsidRPr="00966F20">
        <w:rPr>
          <w:rFonts w:asciiTheme="minorHAnsi" w:hAnsiTheme="minorHAnsi"/>
        </w:rPr>
        <w:t>10.</w:t>
      </w:r>
      <w:r w:rsidR="00966F20">
        <w:rPr>
          <w:rFonts w:asciiTheme="minorHAnsi" w:hAnsiTheme="minorHAnsi"/>
        </w:rPr>
        <w:t xml:space="preserve">maijā </w:t>
      </w:r>
      <w:r w:rsidRPr="00966F20">
        <w:rPr>
          <w:rFonts w:asciiTheme="minorHAnsi" w:hAnsiTheme="minorHAnsi"/>
        </w:rPr>
        <w:t xml:space="preserve">saņemts ISTA akreditācijas sertifikāts, kas apliecina, ka NSKL ir izgājusi </w:t>
      </w:r>
      <w:proofErr w:type="spellStart"/>
      <w:r w:rsidRPr="00966F20">
        <w:rPr>
          <w:rFonts w:asciiTheme="minorHAnsi" w:hAnsiTheme="minorHAnsi"/>
        </w:rPr>
        <w:t>pārakreditācijas</w:t>
      </w:r>
      <w:proofErr w:type="spellEnd"/>
      <w:r w:rsidRPr="00966F20">
        <w:rPr>
          <w:rFonts w:asciiTheme="minorHAnsi" w:hAnsiTheme="minorHAnsi"/>
        </w:rPr>
        <w:t xml:space="preserve"> procesu, paplašinājusi savu darbības jomu ar sēklu veselīguma noteikšanu un pagarinājusi tiesības izsniegt starptautiskos sēklu sertifikātus vēl uz trīs gadiem.</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Lai pilnveidotu sēklu veselīguma laboratoriju ir iegādāts jauns termostats, uzsākts darbs pie references materiālu vākšanas, sagatavotas izmaiņas darba aprakstos un jauni darba aprakstu projekti, kas iztulkoti arī angļu valodā, veikta darbinieka apmācība. NSKL pieteicās ISTA profesionalitātes pārbaudēm sēklu veselīguma analīžu veikšanai un piedalījās Igaunijas organizētajās starplaboratoriju riņķa analīzēs.</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ISTA Profesionalitātes testu programmas ietvaros veiktas sēklu analīzes </w:t>
      </w:r>
      <w:proofErr w:type="spellStart"/>
      <w:r w:rsidRPr="00966F20">
        <w:rPr>
          <w:rFonts w:asciiTheme="minorHAnsi" w:hAnsiTheme="minorHAnsi"/>
          <w:i/>
        </w:rPr>
        <w:t>Sorghum</w:t>
      </w:r>
      <w:proofErr w:type="spellEnd"/>
      <w:r w:rsidRPr="00966F20">
        <w:rPr>
          <w:rFonts w:asciiTheme="minorHAnsi" w:hAnsiTheme="minorHAnsi"/>
          <w:i/>
        </w:rPr>
        <w:t xml:space="preserve"> </w:t>
      </w:r>
      <w:proofErr w:type="spellStart"/>
      <w:r w:rsidRPr="00966F20">
        <w:rPr>
          <w:rFonts w:asciiTheme="minorHAnsi" w:hAnsiTheme="minorHAnsi"/>
          <w:i/>
        </w:rPr>
        <w:t>bicolor</w:t>
      </w:r>
      <w:proofErr w:type="spellEnd"/>
      <w:r w:rsidRPr="00966F20">
        <w:rPr>
          <w:rFonts w:asciiTheme="minorHAnsi" w:hAnsiTheme="minorHAnsi"/>
        </w:rPr>
        <w:t xml:space="preserve"> (veiktas visas analīzes, pārskats nosūtīts ISTA Sekretariātam 28.03.2012., saņemts A novērtējums 30.07.2012.), </w:t>
      </w:r>
      <w:proofErr w:type="spellStart"/>
      <w:r w:rsidRPr="00966F20">
        <w:rPr>
          <w:rFonts w:asciiTheme="minorHAnsi" w:hAnsiTheme="minorHAnsi"/>
        </w:rPr>
        <w:t>Phleum</w:t>
      </w:r>
      <w:proofErr w:type="spellEnd"/>
      <w:r w:rsidRPr="00966F20">
        <w:rPr>
          <w:rFonts w:asciiTheme="minorHAnsi" w:hAnsiTheme="minorHAnsi"/>
        </w:rPr>
        <w:t xml:space="preserve"> </w:t>
      </w:r>
      <w:proofErr w:type="spellStart"/>
      <w:r w:rsidRPr="00966F20">
        <w:rPr>
          <w:rFonts w:asciiTheme="minorHAnsi" w:hAnsiTheme="minorHAnsi"/>
        </w:rPr>
        <w:t>pratense</w:t>
      </w:r>
      <w:proofErr w:type="spellEnd"/>
      <w:r w:rsidRPr="00966F20">
        <w:rPr>
          <w:rFonts w:asciiTheme="minorHAnsi" w:hAnsiTheme="minorHAnsi"/>
        </w:rPr>
        <w:t xml:space="preserve"> (veiktas visas analīzes, pārskats nosūtīts ISTA Sekretariātam 08.08.2012., saņemts A novērtējums 05.11.2012.) un </w:t>
      </w:r>
      <w:proofErr w:type="spellStart"/>
      <w:r w:rsidRPr="00966F20">
        <w:rPr>
          <w:rFonts w:asciiTheme="minorHAnsi" w:hAnsiTheme="minorHAnsi"/>
          <w:i/>
        </w:rPr>
        <w:t>Lactuca</w:t>
      </w:r>
      <w:proofErr w:type="spellEnd"/>
      <w:r w:rsidRPr="00966F20">
        <w:rPr>
          <w:rFonts w:asciiTheme="minorHAnsi" w:hAnsiTheme="minorHAnsi"/>
          <w:i/>
        </w:rPr>
        <w:t xml:space="preserve"> </w:t>
      </w:r>
      <w:proofErr w:type="spellStart"/>
      <w:r w:rsidRPr="00966F20">
        <w:rPr>
          <w:rFonts w:asciiTheme="minorHAnsi" w:hAnsiTheme="minorHAnsi"/>
          <w:i/>
        </w:rPr>
        <w:t>sativa</w:t>
      </w:r>
      <w:proofErr w:type="spellEnd"/>
      <w:r w:rsidRPr="00966F20">
        <w:rPr>
          <w:rFonts w:asciiTheme="minorHAnsi" w:hAnsiTheme="minorHAnsi"/>
        </w:rPr>
        <w:t xml:space="preserve"> (Veiktas visas analīzes, pārskats nosūtīts ISTA Sekretariātam 20.11.2012.).</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2012.gadā NSKL veikti arī 13 iekšējie auditi. Kvalitātes vadības sistēmas pilnveidošanai 2012.gadā ir veikta analīžu rezultātu un dokumentu pareizības pārbaude pirms kvalitātes dokumenta izrakstīšanas. Tiek veikta arī aizpildīto darba kartiņu vietējiem sēklu paraugiem pēcpārbaude – pirms dokumenta izrakstīšanas darba kartītes pārbauda ar laboratoriju nesaistīts departamenta darbinieks.</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NSKL 2012.gada 27.martā auditu veica arī kompānijas DLF </w:t>
      </w:r>
      <w:proofErr w:type="spellStart"/>
      <w:r w:rsidRPr="00966F20">
        <w:rPr>
          <w:rFonts w:asciiTheme="minorHAnsi" w:hAnsiTheme="minorHAnsi"/>
        </w:rPr>
        <w:t>Trifolium</w:t>
      </w:r>
      <w:proofErr w:type="spellEnd"/>
      <w:r w:rsidRPr="00966F20">
        <w:rPr>
          <w:rFonts w:asciiTheme="minorHAnsi" w:hAnsiTheme="minorHAnsi"/>
        </w:rPr>
        <w:t xml:space="preserve"> laboratorijas vadītāja, </w:t>
      </w:r>
      <w:r w:rsidR="00966F20" w:rsidRPr="00966F20">
        <w:rPr>
          <w:rFonts w:asciiTheme="minorHAnsi" w:hAnsiTheme="minorHAnsi"/>
        </w:rPr>
        <w:t>lai pārliecinātos,</w:t>
      </w:r>
      <w:r w:rsidRPr="00966F20">
        <w:rPr>
          <w:rFonts w:asciiTheme="minorHAnsi" w:hAnsiTheme="minorHAnsi"/>
        </w:rPr>
        <w:t xml:space="preserve"> kā norit darbs ar kompānijas sūtītajiem paraugiem, par laboratorijas telpu un iekārtu atbilstību analīžu veikšanai. Bija arī sagatavoti trīs paraugi, lai pārbaudītu, kā tiek veikta tīrības analīze. Audita laikā apspriesta arī turpmākā sadarbība un iespēja rīkot mācības gan Latvijā, gan Dānijā. Būtiski aizrādījumi netika saņemti.</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Profesionālās kvalifikācijas celšanai veiktas arī vairākas NSKL iekšējās pārbaudes tīrībā un citu augu sēklu noteikšanā (11 sēklu paraugiem), dīgtspējā (119 salīdzinošās analīzes), dzīvotspējā </w:t>
      </w:r>
      <w:r w:rsidRPr="00966F20">
        <w:rPr>
          <w:rFonts w:asciiTheme="minorHAnsi" w:hAnsiTheme="minorHAnsi"/>
        </w:rPr>
        <w:lastRenderedPageBreak/>
        <w:t>(66 paraugiem) un mitruma satura noteikšanā (19 salīdzinošās analīzes). Rezultāti ir pieļauto noviržu robežās.</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Sadarbības līgumi ar ārzemju klientiem </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2012.gadā spēkā bija divi starptautiskie līgumi ar Dānijas sēklu kompānijām </w:t>
      </w:r>
      <w:proofErr w:type="spellStart"/>
      <w:r w:rsidRPr="00966F20">
        <w:rPr>
          <w:rFonts w:asciiTheme="minorHAnsi" w:hAnsiTheme="minorHAnsi"/>
        </w:rPr>
        <w:t>Vikima</w:t>
      </w:r>
      <w:proofErr w:type="spellEnd"/>
      <w:r w:rsidRPr="00966F20">
        <w:rPr>
          <w:rFonts w:asciiTheme="minorHAnsi" w:hAnsiTheme="minorHAnsi"/>
        </w:rPr>
        <w:t xml:space="preserve"> </w:t>
      </w:r>
      <w:proofErr w:type="spellStart"/>
      <w:r w:rsidRPr="00966F20">
        <w:rPr>
          <w:rFonts w:asciiTheme="minorHAnsi" w:hAnsiTheme="minorHAnsi"/>
        </w:rPr>
        <w:t>Seed</w:t>
      </w:r>
      <w:proofErr w:type="spellEnd"/>
      <w:r w:rsidRPr="00966F20">
        <w:rPr>
          <w:rFonts w:asciiTheme="minorHAnsi" w:hAnsiTheme="minorHAnsi"/>
        </w:rPr>
        <w:t xml:space="preserve"> un DLF </w:t>
      </w:r>
      <w:proofErr w:type="spellStart"/>
      <w:r w:rsidRPr="00966F20">
        <w:rPr>
          <w:rFonts w:asciiTheme="minorHAnsi" w:hAnsiTheme="minorHAnsi"/>
        </w:rPr>
        <w:t>Trifolium</w:t>
      </w:r>
      <w:proofErr w:type="spellEnd"/>
      <w:r w:rsidRPr="00966F20">
        <w:rPr>
          <w:rFonts w:asciiTheme="minorHAnsi" w:hAnsiTheme="minorHAnsi"/>
        </w:rPr>
        <w:t>.</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Ar </w:t>
      </w:r>
      <w:proofErr w:type="spellStart"/>
      <w:r w:rsidRPr="00966F20">
        <w:rPr>
          <w:rFonts w:asciiTheme="minorHAnsi" w:hAnsiTheme="minorHAnsi"/>
        </w:rPr>
        <w:t>Vikima</w:t>
      </w:r>
      <w:proofErr w:type="spellEnd"/>
      <w:r w:rsidRPr="00966F20">
        <w:rPr>
          <w:rFonts w:asciiTheme="minorHAnsi" w:hAnsiTheme="minorHAnsi"/>
        </w:rPr>
        <w:t xml:space="preserve"> </w:t>
      </w:r>
      <w:proofErr w:type="spellStart"/>
      <w:r w:rsidRPr="00966F20">
        <w:rPr>
          <w:rFonts w:asciiTheme="minorHAnsi" w:hAnsiTheme="minorHAnsi"/>
        </w:rPr>
        <w:t>Seed</w:t>
      </w:r>
      <w:proofErr w:type="spellEnd"/>
      <w:r w:rsidRPr="00966F20">
        <w:rPr>
          <w:rFonts w:asciiTheme="minorHAnsi" w:hAnsiTheme="minorHAnsi"/>
        </w:rPr>
        <w:t xml:space="preserve"> noslēgts līgums par dārzeņu un dekoratīvo augu sēklu dīgtspējas noteikšanu. Praktiski ir saņemti 39 dažādu dārzeņu sugu 405 sēklu paraugi. Ņemot vērā, ka tika saņemti ļoti netīri spinātu un krizantēmu sēklu paraugi, papildus tika veikta arī analītiskās tīrības analīze 30 sēklu paraugiem. </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No DLF </w:t>
      </w:r>
      <w:proofErr w:type="spellStart"/>
      <w:r w:rsidRPr="00966F20">
        <w:rPr>
          <w:rFonts w:asciiTheme="minorHAnsi" w:hAnsiTheme="minorHAnsi"/>
        </w:rPr>
        <w:t>Trifolium</w:t>
      </w:r>
      <w:proofErr w:type="spellEnd"/>
      <w:r w:rsidRPr="00966F20">
        <w:rPr>
          <w:rFonts w:asciiTheme="minorHAnsi" w:hAnsiTheme="minorHAnsi"/>
        </w:rPr>
        <w:t xml:space="preserve"> tiek saņemti stiebrzāļu, tauriņziežu un eļļas augu sēklu paraugi sēklu tīrības, citu augu sugu sēklu un dīgtspējas analīžu veikšanai, saņemti 134 sēklu paraugi</w:t>
      </w:r>
    </w:p>
    <w:p w:rsidR="00961EEC" w:rsidRPr="00966F20" w:rsidRDefault="00966F20" w:rsidP="00966F20">
      <w:pPr>
        <w:widowControl w:val="0"/>
        <w:spacing w:before="120"/>
        <w:jc w:val="both"/>
        <w:rPr>
          <w:rFonts w:asciiTheme="minorHAnsi" w:hAnsiTheme="minorHAnsi"/>
        </w:rPr>
      </w:pPr>
      <w:r>
        <w:rPr>
          <w:rFonts w:asciiTheme="minorHAnsi" w:hAnsiTheme="minorHAnsi"/>
        </w:rPr>
        <w:t>A</w:t>
      </w:r>
      <w:r w:rsidR="00961EEC" w:rsidRPr="00966F20">
        <w:rPr>
          <w:rFonts w:asciiTheme="minorHAnsi" w:hAnsiTheme="minorHAnsi"/>
        </w:rPr>
        <w:t>ttēlā grafiski attēlots, kā mainījies sugu skaits pa gadiem starptautisko klientu iesūtītajiem paraugiem. Sugu skaits ar katru gadu palielinās tādējādi ceļot arī laboratorijas ekspertu profesionalitāti. Apliecinājums tam ir klientu apmierinātība, jo rezultāti nav apstrīdēti un laboratorija saņem jaunus paraugus, kur palielinājies un dažādojies sugu klāsts.</w:t>
      </w:r>
    </w:p>
    <w:p w:rsidR="00961EEC" w:rsidRPr="00966F20" w:rsidRDefault="00961EEC" w:rsidP="00966F20">
      <w:pPr>
        <w:widowControl w:val="0"/>
        <w:tabs>
          <w:tab w:val="center" w:pos="4559"/>
        </w:tabs>
        <w:spacing w:before="120"/>
        <w:rPr>
          <w:rFonts w:asciiTheme="minorHAnsi" w:hAnsiTheme="minorHAnsi"/>
          <w:i/>
          <w:color w:val="943634" w:themeColor="accent2" w:themeShade="BF"/>
        </w:rPr>
      </w:pPr>
      <w:r w:rsidRPr="00966F20">
        <w:rPr>
          <w:rFonts w:asciiTheme="minorHAnsi" w:hAnsiTheme="minorHAnsi"/>
          <w:i/>
          <w:color w:val="943634" w:themeColor="accent2" w:themeShade="BF"/>
        </w:rPr>
        <w:t>Starptautisko klientu iesūtīto paraugu sugu skaits</w:t>
      </w:r>
    </w:p>
    <w:p w:rsidR="00961EEC" w:rsidRPr="009C2C06" w:rsidRDefault="00961EEC" w:rsidP="00966F20">
      <w:r>
        <w:rPr>
          <w:noProof/>
        </w:rPr>
        <w:drawing>
          <wp:inline distT="0" distB="0" distL="0" distR="0" wp14:anchorId="0F5CFDEE" wp14:editId="7D863B18">
            <wp:extent cx="4716855" cy="2181886"/>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a:duotone>
                        <a:schemeClr val="accent3">
                          <a:shade val="45000"/>
                          <a:satMod val="135000"/>
                        </a:schemeClr>
                        <a:prstClr val="white"/>
                      </a:duotone>
                      <a:extLst>
                        <a:ext uri="{28A0092B-C50C-407E-A947-70E740481C1C}">
                          <a14:useLocalDpi xmlns:a14="http://schemas.microsoft.com/office/drawing/2010/main" val="0"/>
                        </a:ext>
                      </a:extLst>
                    </a:blip>
                    <a:srcRect l="1754" t="2922" r="1880" b="3089"/>
                    <a:stretch/>
                  </pic:blipFill>
                  <pic:spPr bwMode="auto">
                    <a:xfrm>
                      <a:off x="0" y="0"/>
                      <a:ext cx="4720378" cy="2183516"/>
                    </a:xfrm>
                    <a:prstGeom prst="rect">
                      <a:avLst/>
                    </a:prstGeom>
                    <a:noFill/>
                    <a:ln>
                      <a:noFill/>
                    </a:ln>
                    <a:extLst>
                      <a:ext uri="{53640926-AAD7-44D8-BBD7-CCE9431645EC}">
                        <a14:shadowObscured xmlns:a14="http://schemas.microsoft.com/office/drawing/2010/main"/>
                      </a:ext>
                    </a:extLst>
                  </pic:spPr>
                </pic:pic>
              </a:graphicData>
            </a:graphic>
          </wp:inline>
        </w:drawing>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NSKL turpina analizēt DLF </w:t>
      </w:r>
      <w:proofErr w:type="spellStart"/>
      <w:r w:rsidRPr="00966F20">
        <w:rPr>
          <w:rFonts w:asciiTheme="minorHAnsi" w:hAnsiTheme="minorHAnsi"/>
        </w:rPr>
        <w:t>Trifolium</w:t>
      </w:r>
      <w:proofErr w:type="spellEnd"/>
      <w:r w:rsidRPr="00966F20">
        <w:rPr>
          <w:rFonts w:asciiTheme="minorHAnsi" w:hAnsiTheme="minorHAnsi"/>
        </w:rPr>
        <w:t xml:space="preserve"> atsūtītos neviendabīguma paraugus kā 5% kontroli no partijām, kurām ir palielināts sēklu partijas lielums. Šo paraugu analīze ir ļoti darbietilpīga, turklāt analīzei ir īpaši nosacījumi – vienas sēklu partijas paraugus iedala viens eksperts, analītisko tīrību un citu augu sēklu noteikšanu veic viens eksperts. Visi dati tiek ierakstīti DLF datu bāzes NAVISION „</w:t>
      </w:r>
      <w:proofErr w:type="spellStart"/>
      <w:r w:rsidRPr="00966F20">
        <w:rPr>
          <w:rFonts w:asciiTheme="minorHAnsi" w:hAnsiTheme="minorHAnsi"/>
        </w:rPr>
        <w:t>excel</w:t>
      </w:r>
      <w:proofErr w:type="spellEnd"/>
      <w:r w:rsidRPr="00966F20">
        <w:rPr>
          <w:rFonts w:asciiTheme="minorHAnsi" w:hAnsiTheme="minorHAnsi"/>
        </w:rPr>
        <w:t>” failā, kas palielina darba apjomu un slodzi, saņemti 14 partiju 258 sēklu paraugi.</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 xml:space="preserve">Sakarā ar to, ka Dānijā vairs nav valsts oficiālās sēklu laboratorijas, DLF </w:t>
      </w:r>
      <w:proofErr w:type="spellStart"/>
      <w:r w:rsidRPr="00966F20">
        <w:rPr>
          <w:rFonts w:asciiTheme="minorHAnsi" w:hAnsiTheme="minorHAnsi"/>
        </w:rPr>
        <w:t>Trifolium</w:t>
      </w:r>
      <w:proofErr w:type="spellEnd"/>
      <w:r w:rsidRPr="00966F20">
        <w:rPr>
          <w:rFonts w:asciiTheme="minorHAnsi" w:hAnsiTheme="minorHAnsi"/>
        </w:rPr>
        <w:t xml:space="preserve"> sūta 5% no paraugiem, ko ņēmuši kompānijas sēklu paraugu noņēmēji oficiālai pārbaudei uz NSKL kā ISTA akreditētu valsts laboratoriju, ir saņemti 374 šādi sēklu paraugi.</w:t>
      </w:r>
    </w:p>
    <w:p w:rsidR="00961EEC" w:rsidRPr="008637DF" w:rsidRDefault="00961EEC" w:rsidP="00966F20">
      <w:pPr>
        <w:widowControl w:val="0"/>
        <w:spacing w:before="120"/>
        <w:jc w:val="both"/>
        <w:rPr>
          <w:rFonts w:asciiTheme="minorHAnsi" w:hAnsiTheme="minorHAnsi"/>
          <w:sz w:val="10"/>
          <w:szCs w:val="10"/>
        </w:rPr>
      </w:pPr>
    </w:p>
    <w:p w:rsidR="00961EEC" w:rsidRPr="00966F20" w:rsidRDefault="00961EEC" w:rsidP="00966F20">
      <w:pPr>
        <w:widowControl w:val="0"/>
        <w:shd w:val="clear" w:color="auto" w:fill="EAF1DD" w:themeFill="accent3" w:themeFillTint="33"/>
        <w:spacing w:before="120"/>
        <w:jc w:val="both"/>
        <w:rPr>
          <w:rFonts w:asciiTheme="minorHAnsi" w:hAnsiTheme="minorHAnsi"/>
          <w:sz w:val="28"/>
        </w:rPr>
      </w:pPr>
      <w:r w:rsidRPr="00966F20">
        <w:rPr>
          <w:rFonts w:asciiTheme="minorHAnsi" w:hAnsiTheme="minorHAnsi"/>
          <w:sz w:val="28"/>
        </w:rPr>
        <w:t>Starptautisk</w:t>
      </w:r>
      <w:r w:rsidR="00966F20">
        <w:rPr>
          <w:rFonts w:asciiTheme="minorHAnsi" w:hAnsiTheme="minorHAnsi"/>
          <w:sz w:val="28"/>
        </w:rPr>
        <w:t>ā sadarbība</w:t>
      </w:r>
    </w:p>
    <w:p w:rsidR="00961EEC" w:rsidRPr="00966F20" w:rsidRDefault="00961EEC" w:rsidP="00966F20">
      <w:pPr>
        <w:widowControl w:val="0"/>
        <w:spacing w:before="120"/>
        <w:jc w:val="both"/>
        <w:rPr>
          <w:rFonts w:asciiTheme="minorHAnsi" w:hAnsiTheme="minorHAnsi"/>
        </w:rPr>
      </w:pPr>
      <w:r w:rsidRPr="00966F20">
        <w:rPr>
          <w:rFonts w:asciiTheme="minorHAnsi" w:hAnsiTheme="minorHAnsi"/>
        </w:rPr>
        <w:t>No 27.02.2012. – 02.03.2012. noorganizētas un novadītas apmācības 15 Krievijas sēklu jomas speciālistiem no sešām dažādām laboratorijām par šādām tēmām – kvalitātes sistēmas vadība, parauga noņemšanas metodika, parauga pieņemšana un iedalīšana, iekārtu kalibrēšana, tīrības analīzes un citu augu sugu sēklu noteikšana, dīgtspējas un dzīvotspējas analīzes, mitruma noteikšana, 1000 sēklu masas noteikšana. Speciālistiem pēc apmācību beigšanas tika izsniegti sertifikāti par piedalīšanos sēklu analīžu apmācību programmā.</w:t>
      </w:r>
    </w:p>
    <w:p w:rsidR="00961EEC" w:rsidRPr="00966F20" w:rsidRDefault="00961EEC" w:rsidP="007E5A1B">
      <w:pPr>
        <w:widowControl w:val="0"/>
        <w:spacing w:before="120"/>
        <w:jc w:val="both"/>
        <w:rPr>
          <w:rFonts w:asciiTheme="minorHAnsi" w:hAnsiTheme="minorHAnsi"/>
        </w:rPr>
      </w:pPr>
      <w:r w:rsidRPr="00966F20">
        <w:rPr>
          <w:rFonts w:asciiTheme="minorHAnsi" w:hAnsiTheme="minorHAnsi"/>
        </w:rPr>
        <w:lastRenderedPageBreak/>
        <w:t xml:space="preserve">NSKL tika veiksmīgi noorganizēts DLF </w:t>
      </w:r>
      <w:proofErr w:type="spellStart"/>
      <w:r w:rsidRPr="00966F20">
        <w:rPr>
          <w:rFonts w:asciiTheme="minorHAnsi" w:hAnsiTheme="minorHAnsi"/>
        </w:rPr>
        <w:t>Trifolium</w:t>
      </w:r>
      <w:proofErr w:type="spellEnd"/>
      <w:r w:rsidRPr="00966F20">
        <w:rPr>
          <w:rFonts w:asciiTheme="minorHAnsi" w:hAnsiTheme="minorHAnsi"/>
        </w:rPr>
        <w:t xml:space="preserve"> vadītais darba seminārs tīrībā un dīgtspējā (4.-8.jūnijs),. Mācības vadīja divi Dānijas kompānijas DLF </w:t>
      </w:r>
      <w:proofErr w:type="spellStart"/>
      <w:r w:rsidRPr="00966F20">
        <w:rPr>
          <w:rFonts w:asciiTheme="minorHAnsi" w:hAnsiTheme="minorHAnsi"/>
        </w:rPr>
        <w:t>Trifolium</w:t>
      </w:r>
      <w:proofErr w:type="spellEnd"/>
      <w:r w:rsidRPr="00966F20">
        <w:rPr>
          <w:rFonts w:asciiTheme="minorHAnsi" w:hAnsiTheme="minorHAnsi"/>
        </w:rPr>
        <w:t xml:space="preserve"> vieslektori. Mācību dalībnieki tika teorētiski iepazīstināti ar niedru auzenes, parastās skarenes un pļavas skarenes tīro sēklu definīcijām, pūšanas metodes pielietojumu un sēklu tīrības un dīgtspējas analīzēm. Praktiski veica niedru auzenes un skareņu sēklu tīrības analīzes un niedru auzenes dīgstu novērtēšanu.</w:t>
      </w:r>
      <w:r w:rsidR="007E5A1B">
        <w:rPr>
          <w:rFonts w:asciiTheme="minorHAnsi" w:hAnsiTheme="minorHAnsi"/>
        </w:rPr>
        <w:t xml:space="preserve"> Ņemta aktīva d</w:t>
      </w:r>
      <w:r w:rsidRPr="00966F20">
        <w:rPr>
          <w:rFonts w:asciiTheme="minorHAnsi" w:hAnsiTheme="minorHAnsi"/>
        </w:rPr>
        <w:t>alība starptauti</w:t>
      </w:r>
      <w:r w:rsidR="007E5A1B">
        <w:rPr>
          <w:rFonts w:asciiTheme="minorHAnsi" w:hAnsiTheme="minorHAnsi"/>
        </w:rPr>
        <w:t xml:space="preserve">skos darba semināros un sanāksmēs. </w:t>
      </w:r>
    </w:p>
    <w:p w:rsidR="00961EEC" w:rsidRPr="00187BB4" w:rsidRDefault="00961EEC" w:rsidP="00187BB4">
      <w:pPr>
        <w:widowControl w:val="0"/>
        <w:shd w:val="clear" w:color="auto" w:fill="EAF1DD" w:themeFill="accent3" w:themeFillTint="33"/>
        <w:spacing w:before="120"/>
        <w:jc w:val="both"/>
        <w:rPr>
          <w:rFonts w:asciiTheme="minorHAnsi" w:hAnsiTheme="minorHAnsi"/>
          <w:sz w:val="28"/>
        </w:rPr>
      </w:pPr>
      <w:r w:rsidRPr="00187BB4">
        <w:rPr>
          <w:rFonts w:asciiTheme="minorHAnsi" w:hAnsiTheme="minorHAnsi"/>
          <w:sz w:val="28"/>
        </w:rPr>
        <w:t>Inspektoru un ekspertu mācības</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07.02.2012. notika paraugu noņēmēju mācības un 14.02.2012. eksāmens, kuru saskaņā ar VAAD instrukciju kārtoja inspektori, kuriem beidzies kvalifikācijas uzturēšanas termiņš. Eksāmenu nokārtoja un kvalifikācija tika pagarināta visiem pieciem paraugu noņēmējiem, kuriem tas bija nepieciešams.</w:t>
      </w:r>
    </w:p>
    <w:p w:rsidR="007E5A1B" w:rsidRDefault="00961EEC" w:rsidP="00187BB4">
      <w:pPr>
        <w:widowControl w:val="0"/>
        <w:spacing w:before="120"/>
        <w:jc w:val="both"/>
        <w:rPr>
          <w:rFonts w:asciiTheme="minorHAnsi" w:hAnsiTheme="minorHAnsi"/>
        </w:rPr>
      </w:pPr>
      <w:r w:rsidRPr="00187BB4">
        <w:rPr>
          <w:rFonts w:asciiTheme="minorHAnsi" w:hAnsiTheme="minorHAnsi"/>
        </w:rPr>
        <w:t>NSKL iekšējās mācības ir gan plānotas, gan neplānotas. Pārskata periodā</w:t>
      </w:r>
      <w:r w:rsidR="007E5A1B">
        <w:rPr>
          <w:rFonts w:asciiTheme="minorHAnsi" w:hAnsiTheme="minorHAnsi"/>
        </w:rPr>
        <w:t xml:space="preserve"> ir bijušas 26 iekšējās mācības</w:t>
      </w:r>
      <w:r w:rsidRPr="00187BB4">
        <w:rPr>
          <w:rFonts w:asciiTheme="minorHAnsi" w:hAnsiTheme="minorHAnsi"/>
        </w:rPr>
        <w:t>.</w:t>
      </w:r>
      <w:r w:rsidR="007E5A1B">
        <w:rPr>
          <w:rFonts w:asciiTheme="minorHAnsi" w:hAnsiTheme="minorHAnsi"/>
        </w:rPr>
        <w:t xml:space="preserve"> </w:t>
      </w:r>
      <w:r w:rsidRPr="00187BB4">
        <w:rPr>
          <w:rFonts w:asciiTheme="minorHAnsi" w:hAnsiTheme="minorHAnsi"/>
        </w:rPr>
        <w:t>2012.gadā notika gan laboratorijas ekspertu mācības</w:t>
      </w:r>
      <w:r w:rsidR="007E5A1B">
        <w:rPr>
          <w:rFonts w:asciiTheme="minorHAnsi" w:hAnsiTheme="minorHAnsi"/>
        </w:rPr>
        <w:t>,</w:t>
      </w:r>
      <w:r w:rsidRPr="00187BB4">
        <w:rPr>
          <w:rFonts w:asciiTheme="minorHAnsi" w:hAnsiTheme="minorHAnsi"/>
        </w:rPr>
        <w:t xml:space="preserve"> gan eksāmens kvalifikācijas uzturēšanai. </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 xml:space="preserve">Sēklu kontroles departaments saskaņā ar </w:t>
      </w:r>
      <w:r w:rsidR="004B6E67">
        <w:rPr>
          <w:rFonts w:asciiTheme="minorHAnsi" w:hAnsiTheme="minorHAnsi"/>
        </w:rPr>
        <w:t>VAAD</w:t>
      </w:r>
      <w:r w:rsidR="004B6E67" w:rsidRPr="00187BB4">
        <w:rPr>
          <w:rFonts w:asciiTheme="minorHAnsi" w:hAnsiTheme="minorHAnsi"/>
          <w:b/>
        </w:rPr>
        <w:t xml:space="preserve"> </w:t>
      </w:r>
      <w:r w:rsidRPr="00187BB4">
        <w:rPr>
          <w:rFonts w:asciiTheme="minorHAnsi" w:hAnsiTheme="minorHAnsi"/>
          <w:b/>
        </w:rPr>
        <w:t xml:space="preserve">sistēmu darbības pārbaudes 2012.gada </w:t>
      </w:r>
      <w:r w:rsidRPr="00187BB4">
        <w:rPr>
          <w:rFonts w:asciiTheme="minorHAnsi" w:hAnsiTheme="minorHAnsi"/>
        </w:rPr>
        <w:t>plānu sēklu un šķirņu jomā ir veicis trīs darba pārbaudes reģionālo nodaļu sēklu kontroles laboratorijās, kā arī Zemgales, Kurzemes, Latgales un Rīgas reģionu paraugu noņēmēju darba pārbaudes, astoņas pārbaudes augu šķirņu saimniecisko īpašību novērtēšanas (SĪN) vietās un vienu pārbaudi jauno augu šķirņu atšķirīguma, viendabīguma un stabilitātes (AVS) pārbaudes vietā.</w:t>
      </w:r>
    </w:p>
    <w:p w:rsidR="00961EEC" w:rsidRPr="00187BB4" w:rsidRDefault="00961EEC" w:rsidP="00187BB4">
      <w:pPr>
        <w:widowControl w:val="0"/>
        <w:spacing w:before="120"/>
        <w:jc w:val="both"/>
        <w:rPr>
          <w:rFonts w:asciiTheme="minorHAnsi" w:hAnsiTheme="minorHAnsi"/>
          <w:b/>
        </w:rPr>
      </w:pPr>
      <w:r w:rsidRPr="00187BB4">
        <w:rPr>
          <w:rFonts w:asciiTheme="minorHAnsi" w:hAnsiTheme="minorHAnsi"/>
          <w:b/>
        </w:rPr>
        <w:t>Pārskats par konstatētajām neatbilstībām reģionālo nodaļu sēklu kontroles laboratoriju analītiskajā un metodiskajā darbā:</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2012. gadā Nacionālās sēklu kontroles laboratorijas eksperti veica reģionālo nodaļu Sēklu kontroles laboratoriju metodiskā un analītiskā darba pārbaudi Bauskas, Saldus un Valmieras sēklu kontroles laboratorijās.</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Paredzētie pasākumi neatbilstību likvidēšanai - Sēklu kontroles ekspertu 2013.gada mācībās atkārtoti tiks izanalizētas darbā konstatētās neatbilstības un precizētas veicamās korektīvās darbības.</w:t>
      </w:r>
    </w:p>
    <w:p w:rsidR="00961EEC" w:rsidRPr="00187BB4" w:rsidRDefault="00961EEC" w:rsidP="00187BB4">
      <w:pPr>
        <w:widowControl w:val="0"/>
        <w:spacing w:before="120"/>
        <w:jc w:val="both"/>
        <w:rPr>
          <w:rFonts w:asciiTheme="minorHAnsi" w:hAnsiTheme="minorHAnsi"/>
          <w:b/>
        </w:rPr>
      </w:pPr>
      <w:r w:rsidRPr="00187BB4">
        <w:rPr>
          <w:rFonts w:asciiTheme="minorHAnsi" w:hAnsiTheme="minorHAnsi"/>
          <w:b/>
        </w:rPr>
        <w:t xml:space="preserve">Pārskats par paraugu noņēmēju pārraudzību: </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 xml:space="preserve">2012.gadā Sēklu kontroles departamenta Nacionālās sēklu kontroles laboratorijas apstiprinātais sēklu paraugu noņēmēju pārraugs ir veicis sēklu paraugu noņēmēju pārraudzības darbu Kurzemes, Latgales, Rīgas un Zemgales reģionos. </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Kopā tika uzrakstīti astoņi akti par paraugu noņēmēju pārraudzību un noņemti kontroles paraugi no deviņām (1 stiebrzāļu, 6 ziemāju un 2 vasarāju) sēklu partijām.</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Paraugu noņēmēju 2013.gada mācībās atkārtoti izanalizēt konstatētās neatbilstības paraugu noņemšanā un dokumentācijā, ieplānot ne tikai ISTA, bet arī pārējo paraugu noņēmēju pārbaudes.</w:t>
      </w:r>
    </w:p>
    <w:p w:rsidR="00961EEC" w:rsidRPr="00187BB4" w:rsidRDefault="00961EEC" w:rsidP="00187BB4">
      <w:pPr>
        <w:widowControl w:val="0"/>
        <w:spacing w:before="120"/>
        <w:jc w:val="both"/>
        <w:rPr>
          <w:rFonts w:asciiTheme="minorHAnsi" w:hAnsiTheme="minorHAnsi"/>
          <w:b/>
        </w:rPr>
      </w:pPr>
      <w:r w:rsidRPr="00187BB4">
        <w:rPr>
          <w:rFonts w:asciiTheme="minorHAnsi" w:hAnsiTheme="minorHAnsi"/>
          <w:b/>
        </w:rPr>
        <w:t>2012.gadā veikta viena pārbaude jaunu augu šķirņu atšķirīguma, viendabīguma un stabilitātes (AVS) pārbaudes veikšanas vietā– Latvijas Valsts Augļkopības institūtā 5 vīnogu šķirnēm:</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Pārbaude veikta gan uz lauka (augošiem augiem), gan dokumentiem.</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 xml:space="preserve">Tika konstatēts, ka augu skaits ir pietiekošs, lai veiktu novērtēšanu, izvērtējot šķirni, ir novērtētas visas pazīmes. Konstatēts, ka datu pierakstos nav uzrādīts vērtēšanas datums. </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lastRenderedPageBreak/>
        <w:t xml:space="preserve">Pārbaudē uzsvars tika likts uz vīnogu šķirņu kolekcijas sastāvu atšķirīguma vērtēšanai, līdz ar to tika pieprasīta visa informācija par </w:t>
      </w:r>
      <w:proofErr w:type="spellStart"/>
      <w:r w:rsidRPr="00187BB4">
        <w:rPr>
          <w:rFonts w:asciiTheme="minorHAnsi" w:hAnsiTheme="minorHAnsi"/>
        </w:rPr>
        <w:t>paraugšķirnēm</w:t>
      </w:r>
      <w:proofErr w:type="spellEnd"/>
      <w:r w:rsidRPr="00187BB4">
        <w:rPr>
          <w:rFonts w:asciiTheme="minorHAnsi" w:hAnsiTheme="minorHAnsi"/>
        </w:rPr>
        <w:t xml:space="preserve">, kas nepieciešamas pazīmju izpausmes pakāpes noteikšanai, izmantojot arī pieejamo šķirnes aprakstu. </w:t>
      </w:r>
    </w:p>
    <w:p w:rsidR="00961EEC" w:rsidRPr="00187BB4" w:rsidRDefault="00961EEC" w:rsidP="00187BB4">
      <w:pPr>
        <w:widowControl w:val="0"/>
        <w:spacing w:before="120"/>
        <w:jc w:val="both"/>
        <w:rPr>
          <w:rFonts w:asciiTheme="minorHAnsi" w:hAnsiTheme="minorHAnsi"/>
          <w:b/>
        </w:rPr>
      </w:pPr>
      <w:r w:rsidRPr="00187BB4">
        <w:rPr>
          <w:rFonts w:asciiTheme="minorHAnsi" w:hAnsiTheme="minorHAnsi"/>
          <w:b/>
        </w:rPr>
        <w:t>Pārskats par SĪN izmēģinājumu vietu uzraudzību:</w:t>
      </w:r>
    </w:p>
    <w:p w:rsidR="00961EEC" w:rsidRPr="00187BB4" w:rsidRDefault="00961EEC" w:rsidP="00561367">
      <w:pPr>
        <w:widowControl w:val="0"/>
        <w:jc w:val="both"/>
        <w:rPr>
          <w:rFonts w:asciiTheme="minorHAnsi" w:hAnsiTheme="minorHAnsi"/>
        </w:rPr>
      </w:pPr>
      <w:r w:rsidRPr="00187BB4">
        <w:rPr>
          <w:rFonts w:asciiTheme="minorHAnsi" w:hAnsiTheme="minorHAnsi"/>
        </w:rPr>
        <w:t>Pārskata gadā veiktas – astoņas pārbaudes sešās SĪN veikšanas vietās:</w:t>
      </w:r>
    </w:p>
    <w:p w:rsidR="00961EEC" w:rsidRPr="00187BB4" w:rsidRDefault="00961EEC" w:rsidP="00561367">
      <w:pPr>
        <w:pStyle w:val="ListParagraph"/>
        <w:widowControl w:val="0"/>
        <w:numPr>
          <w:ilvl w:val="0"/>
          <w:numId w:val="17"/>
        </w:numPr>
        <w:jc w:val="both"/>
        <w:rPr>
          <w:rFonts w:asciiTheme="minorHAnsi" w:hAnsiTheme="minorHAnsi"/>
        </w:rPr>
      </w:pPr>
      <w:r w:rsidRPr="00187BB4">
        <w:rPr>
          <w:rFonts w:asciiTheme="minorHAnsi" w:hAnsiTheme="minorHAnsi"/>
        </w:rPr>
        <w:t>LLU aģentūra Zemkopības zinātniskais institūts - divas pārbaudes;</w:t>
      </w:r>
    </w:p>
    <w:p w:rsidR="00961EEC" w:rsidRPr="00187BB4" w:rsidRDefault="00961EEC" w:rsidP="00561367">
      <w:pPr>
        <w:pStyle w:val="ListParagraph"/>
        <w:widowControl w:val="0"/>
        <w:numPr>
          <w:ilvl w:val="0"/>
          <w:numId w:val="17"/>
        </w:numPr>
        <w:jc w:val="both"/>
        <w:rPr>
          <w:rFonts w:asciiTheme="minorHAnsi" w:hAnsiTheme="minorHAnsi"/>
        </w:rPr>
      </w:pPr>
      <w:r w:rsidRPr="00187BB4">
        <w:rPr>
          <w:rFonts w:asciiTheme="minorHAnsi" w:hAnsiTheme="minorHAnsi"/>
        </w:rPr>
        <w:t>LLU mācību un pētījumu saimniecība „</w:t>
      </w:r>
      <w:proofErr w:type="spellStart"/>
      <w:r w:rsidRPr="00187BB4">
        <w:rPr>
          <w:rFonts w:asciiTheme="minorHAnsi" w:hAnsiTheme="minorHAnsi"/>
        </w:rPr>
        <w:t>Pēterlauki</w:t>
      </w:r>
      <w:proofErr w:type="spellEnd"/>
      <w:r w:rsidRPr="00187BB4">
        <w:rPr>
          <w:rFonts w:asciiTheme="minorHAnsi" w:hAnsiTheme="minorHAnsi"/>
        </w:rPr>
        <w:t>” -</w:t>
      </w:r>
      <w:r w:rsidR="00187BB4">
        <w:rPr>
          <w:rFonts w:asciiTheme="minorHAnsi" w:hAnsiTheme="minorHAnsi"/>
        </w:rPr>
        <w:t xml:space="preserve"> </w:t>
      </w:r>
      <w:r w:rsidRPr="00187BB4">
        <w:rPr>
          <w:rFonts w:asciiTheme="minorHAnsi" w:hAnsiTheme="minorHAnsi"/>
        </w:rPr>
        <w:t>viena pārbaude</w:t>
      </w:r>
    </w:p>
    <w:p w:rsidR="00961EEC" w:rsidRPr="00187BB4" w:rsidRDefault="00961EEC" w:rsidP="00561367">
      <w:pPr>
        <w:pStyle w:val="ListParagraph"/>
        <w:widowControl w:val="0"/>
        <w:numPr>
          <w:ilvl w:val="0"/>
          <w:numId w:val="17"/>
        </w:numPr>
        <w:jc w:val="both"/>
        <w:rPr>
          <w:rFonts w:asciiTheme="minorHAnsi" w:hAnsiTheme="minorHAnsi"/>
        </w:rPr>
      </w:pPr>
      <w:r w:rsidRPr="00187BB4">
        <w:rPr>
          <w:rFonts w:asciiTheme="minorHAnsi" w:hAnsiTheme="minorHAnsi"/>
        </w:rPr>
        <w:t xml:space="preserve">SKD </w:t>
      </w:r>
      <w:proofErr w:type="spellStart"/>
      <w:r w:rsidRPr="00187BB4">
        <w:rPr>
          <w:rFonts w:asciiTheme="minorHAnsi" w:hAnsiTheme="minorHAnsi"/>
        </w:rPr>
        <w:t>Tiruļi</w:t>
      </w:r>
      <w:proofErr w:type="spellEnd"/>
      <w:r w:rsidRPr="00187BB4">
        <w:rPr>
          <w:rFonts w:asciiTheme="minorHAnsi" w:hAnsiTheme="minorHAnsi"/>
        </w:rPr>
        <w:t xml:space="preserve"> - trīs pārbaudes</w:t>
      </w:r>
    </w:p>
    <w:p w:rsidR="00961EEC" w:rsidRPr="00187BB4" w:rsidRDefault="00961EEC" w:rsidP="00561367">
      <w:pPr>
        <w:pStyle w:val="ListParagraph"/>
        <w:widowControl w:val="0"/>
        <w:numPr>
          <w:ilvl w:val="0"/>
          <w:numId w:val="17"/>
        </w:numPr>
        <w:jc w:val="both"/>
        <w:rPr>
          <w:rFonts w:asciiTheme="minorHAnsi" w:hAnsiTheme="minorHAnsi"/>
        </w:rPr>
      </w:pPr>
      <w:proofErr w:type="spellStart"/>
      <w:r w:rsidRPr="00187BB4">
        <w:rPr>
          <w:rFonts w:asciiTheme="minorHAnsi" w:hAnsiTheme="minorHAnsi"/>
        </w:rPr>
        <w:t>Viduslatgales</w:t>
      </w:r>
      <w:proofErr w:type="spellEnd"/>
      <w:r w:rsidRPr="00187BB4">
        <w:rPr>
          <w:rFonts w:asciiTheme="minorHAnsi" w:hAnsiTheme="minorHAnsi"/>
        </w:rPr>
        <w:t xml:space="preserve"> profesionālā vidusskola -</w:t>
      </w:r>
      <w:r w:rsidR="00187BB4">
        <w:rPr>
          <w:rFonts w:asciiTheme="minorHAnsi" w:hAnsiTheme="minorHAnsi"/>
        </w:rPr>
        <w:t xml:space="preserve"> </w:t>
      </w:r>
      <w:r w:rsidRPr="00187BB4">
        <w:rPr>
          <w:rFonts w:asciiTheme="minorHAnsi" w:hAnsiTheme="minorHAnsi"/>
        </w:rPr>
        <w:t>divas pārbaudes.</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Lauka izmēģinājumos pavasara pārbaudēs no aprīļa beigām līdz maija beigām pārbaudīts ziemāju labību un ziemas rapša izmēģinājumu lauciņu stāvoklis, rudens pārbaudēs augustā un septembrī uzmanība tika pievērsta izmēģinājumu iekārtošanas prasību ievērošanai; ražas uzskaitē izmantojamiem svariem un metodiku ievērošanai.</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Visa pārskata gada laikā nodrošināta sekretariāta funkciju veikšana un departamenta darbinieku līdzdalība Nacionālās augu šķirņu padomes un tās ekspertu darba grupu darbā.</w:t>
      </w:r>
    </w:p>
    <w:p w:rsidR="007E5A1B" w:rsidRPr="00187BB4" w:rsidRDefault="007E5A1B" w:rsidP="007E5A1B">
      <w:pPr>
        <w:widowControl w:val="0"/>
        <w:spacing w:before="120"/>
        <w:jc w:val="both"/>
        <w:rPr>
          <w:rFonts w:asciiTheme="minorHAnsi" w:hAnsiTheme="minorHAnsi"/>
        </w:rPr>
      </w:pPr>
      <w:r>
        <w:rPr>
          <w:rFonts w:asciiTheme="minorHAnsi" w:hAnsiTheme="minorHAnsi"/>
        </w:rPr>
        <w:t>Sēklu kontroles jomas</w:t>
      </w:r>
      <w:r w:rsidR="00961EEC" w:rsidRPr="00187BB4">
        <w:rPr>
          <w:rFonts w:asciiTheme="minorHAnsi" w:hAnsiTheme="minorHAnsi"/>
        </w:rPr>
        <w:t xml:space="preserve"> darbinieki piedalījās starpinstitūciju un ZM izveidotajās darba grupās, lai veiktu grozījumus un izstrādātu jaunus normatīvos dokumentus. </w:t>
      </w:r>
    </w:p>
    <w:p w:rsidR="00961EEC" w:rsidRDefault="00961EEC" w:rsidP="00961EEC">
      <w:pPr>
        <w:rPr>
          <w:b/>
        </w:rPr>
      </w:pPr>
    </w:p>
    <w:p w:rsidR="00961EEC" w:rsidRPr="00187BB4" w:rsidRDefault="00187BB4" w:rsidP="00187BB4">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Sniegtie pakalpojumi</w:t>
      </w:r>
    </w:p>
    <w:p w:rsidR="00961EEC" w:rsidRDefault="00961EEC" w:rsidP="00961EEC">
      <w:pPr>
        <w:jc w:val="both"/>
      </w:pPr>
    </w:p>
    <w:p w:rsidR="00961EEC" w:rsidRDefault="00961EEC" w:rsidP="00561367">
      <w:pPr>
        <w:widowControl w:val="0"/>
        <w:jc w:val="both"/>
        <w:rPr>
          <w:b/>
        </w:rPr>
      </w:pPr>
      <w:r w:rsidRPr="00187BB4">
        <w:rPr>
          <w:rFonts w:asciiTheme="minorHAnsi" w:hAnsiTheme="minorHAnsi"/>
          <w:b/>
        </w:rPr>
        <w:t>Sēklaudzētāju un sēklu tirgotāju reģistrs</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Sēklaudzētāju un sēklu tirgotāju reģistrā reģistrējas sēklu audzētāji, sēklu sagatavotāji, sēklu saiņotāji, sēklu tirgotāji un sēklu ievedēji (ES koptirgū). 2012.gada 31.decembrī Sēklaudzētāju un sēklu tirgotāju reģistrā ir reģistrētas 456 personas. 2012. gadā Sēklaudzētāju un sēklu tirgotāju reģistrā ir iekļautas 17 personas, taču izslēgts no Sēklaudzētāju un sēklu tirgotāju reģistra tikai viens sēklaudzētājs, kā arī trim reģistrā reģistrētajām personām ir veiktas izmaiņas Sēklaudzētāju un sēklu tirgotāju reģistrā un izdota jauna reģistrācijas apliecība.</w:t>
      </w:r>
    </w:p>
    <w:p w:rsidR="00961EEC" w:rsidRPr="00187BB4" w:rsidRDefault="00961EEC" w:rsidP="00187BB4">
      <w:pPr>
        <w:widowControl w:val="0"/>
        <w:spacing w:before="120"/>
        <w:jc w:val="both"/>
        <w:rPr>
          <w:rFonts w:asciiTheme="minorHAnsi" w:hAnsiTheme="minorHAnsi"/>
        </w:rPr>
      </w:pPr>
      <w:r w:rsidRPr="00187BB4">
        <w:rPr>
          <w:rFonts w:asciiTheme="minorHAnsi" w:hAnsiTheme="minorHAnsi"/>
        </w:rPr>
        <w:t xml:space="preserve">Reģistrā, kā sēklu audzētāji ir reģistrēti 365 uzņēmumi. Pēc valsts kultūraugu uzraudzības sistēmas datiem 2012. gadā lauku apskates tika veiktas 122 uzņēmumos, līdz ar to nākas secināt, ka aktīvi sēklaudzēšanas jomā darbojas tikai 25% no visām Sēklaudzētāju un sēklu tirgotāju reģistrā reģistrētajām personām, kuras ir reģistrējušās, kā sēklu audzētāji. </w:t>
      </w:r>
    </w:p>
    <w:p w:rsidR="00187BB4" w:rsidRPr="00966F20" w:rsidRDefault="00187BB4" w:rsidP="00187BB4">
      <w:pPr>
        <w:widowControl w:val="0"/>
        <w:tabs>
          <w:tab w:val="center" w:pos="4559"/>
        </w:tabs>
        <w:spacing w:before="120"/>
        <w:rPr>
          <w:rFonts w:asciiTheme="minorHAnsi" w:hAnsiTheme="minorHAnsi"/>
          <w:i/>
          <w:color w:val="943634" w:themeColor="accent2" w:themeShade="BF"/>
        </w:rPr>
      </w:pPr>
      <w:r>
        <w:rPr>
          <w:rFonts w:asciiTheme="minorHAnsi" w:hAnsiTheme="minorHAnsi"/>
          <w:i/>
          <w:color w:val="943634" w:themeColor="accent2" w:themeShade="BF"/>
        </w:rPr>
        <w:t>Reģistrā reģistrēto sēklaudzētāju aktivitāte 2012.gadā</w:t>
      </w:r>
    </w:p>
    <w:p w:rsidR="00961EEC" w:rsidRDefault="00961EEC" w:rsidP="00187BB4">
      <w:pPr>
        <w:overflowPunct w:val="0"/>
        <w:autoSpaceDE w:val="0"/>
        <w:autoSpaceDN w:val="0"/>
        <w:adjustRightInd w:val="0"/>
        <w:jc w:val="both"/>
        <w:textAlignment w:val="baseline"/>
      </w:pPr>
    </w:p>
    <w:p w:rsidR="00961EEC" w:rsidRDefault="00561367" w:rsidP="00187BB4">
      <w:r>
        <w:rPr>
          <w:noProof/>
        </w:rPr>
        <w:drawing>
          <wp:inline distT="0" distB="0" distL="0" distR="0">
            <wp:extent cx="2915285" cy="16015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rotWithShape="1">
                    <a:blip r:embed="rId48">
                      <a:duotone>
                        <a:schemeClr val="accent3">
                          <a:shade val="45000"/>
                          <a:satMod val="135000"/>
                        </a:schemeClr>
                        <a:prstClr val="white"/>
                      </a:duotone>
                      <a:extLst>
                        <a:ext uri="{28A0092B-C50C-407E-A947-70E740481C1C}">
                          <a14:useLocalDpi xmlns:a14="http://schemas.microsoft.com/office/drawing/2010/main" val="0"/>
                        </a:ext>
                      </a:extLst>
                    </a:blip>
                    <a:srcRect l="6972" t="11184" r="1961" b="2613"/>
                    <a:stretch/>
                  </pic:blipFill>
                  <pic:spPr bwMode="auto">
                    <a:xfrm>
                      <a:off x="0" y="0"/>
                      <a:ext cx="2915285" cy="1601470"/>
                    </a:xfrm>
                    <a:prstGeom prst="rect">
                      <a:avLst/>
                    </a:prstGeom>
                    <a:noFill/>
                    <a:ln>
                      <a:noFill/>
                    </a:ln>
                    <a:extLst>
                      <a:ext uri="{53640926-AAD7-44D8-BBD7-CCE9431645EC}">
                        <a14:shadowObscured xmlns:a14="http://schemas.microsoft.com/office/drawing/2010/main"/>
                      </a:ext>
                    </a:extLst>
                  </pic:spPr>
                </pic:pic>
              </a:graphicData>
            </a:graphic>
          </wp:inline>
        </w:drawing>
      </w:r>
    </w:p>
    <w:p w:rsidR="00961EEC" w:rsidRPr="00561367" w:rsidRDefault="00961EEC" w:rsidP="00961EEC">
      <w:pPr>
        <w:jc w:val="both"/>
        <w:rPr>
          <w:sz w:val="10"/>
          <w:szCs w:val="10"/>
        </w:rPr>
      </w:pPr>
    </w:p>
    <w:p w:rsidR="00961EEC" w:rsidRPr="00561367" w:rsidRDefault="00961EEC" w:rsidP="00961EEC">
      <w:pPr>
        <w:jc w:val="both"/>
        <w:rPr>
          <w:sz w:val="8"/>
          <w:szCs w:val="8"/>
        </w:rPr>
      </w:pPr>
    </w:p>
    <w:p w:rsidR="00961EEC" w:rsidRPr="004C2001" w:rsidRDefault="00961EEC" w:rsidP="00561367">
      <w:pPr>
        <w:widowControl w:val="0"/>
        <w:jc w:val="both"/>
        <w:rPr>
          <w:rFonts w:asciiTheme="minorHAnsi" w:hAnsiTheme="minorHAnsi"/>
          <w:b/>
        </w:rPr>
      </w:pPr>
      <w:r w:rsidRPr="004C2001">
        <w:rPr>
          <w:rFonts w:asciiTheme="minorHAnsi" w:hAnsiTheme="minorHAnsi"/>
          <w:b/>
        </w:rPr>
        <w:t>Sēklaudzēšanas sējumu lauku apskates</w:t>
      </w:r>
    </w:p>
    <w:p w:rsidR="00961EEC" w:rsidRPr="004C2001" w:rsidRDefault="00961EEC" w:rsidP="004C2001">
      <w:pPr>
        <w:widowControl w:val="0"/>
        <w:spacing w:before="120"/>
        <w:jc w:val="both"/>
        <w:rPr>
          <w:rFonts w:asciiTheme="minorHAnsi" w:hAnsiTheme="minorHAnsi"/>
        </w:rPr>
      </w:pPr>
      <w:r w:rsidRPr="004C2001">
        <w:rPr>
          <w:rFonts w:asciiTheme="minorHAnsi" w:hAnsiTheme="minorHAnsi"/>
        </w:rPr>
        <w:t xml:space="preserve">2012.gadā reģionālo nodaļu sēklu kontroles inspektori sēklaudzēšanas lauku apskates veikuši </w:t>
      </w:r>
      <w:r w:rsidRPr="004C2001">
        <w:rPr>
          <w:rFonts w:asciiTheme="minorHAnsi" w:hAnsiTheme="minorHAnsi"/>
        </w:rPr>
        <w:lastRenderedPageBreak/>
        <w:t>8559,535ha platībā pie 122 sēklaudzētājiem. Jau otro gadu pēc kārtas turpina palielināties kopējās sēklaudzēšanas lauku platības, 2012.gadā salīdzinot ar iepriekšējo gadu palielinājums ir par 13 % jeb nedaudz vairāk kā 1000ha. Atbilstoši normatīvo aktu prasībām ir 97,58% no veikto lauku apskašu platībām. Līdz ar to varam lepoties ar ļoti augstas kvalitātes sēklaudzēšanas laukiem. Galvenais iemesls sēklu lauku atzīšanai par neizmatojamu ir sēklaudzēšanas laukos konstatētais vējauzu piemaisījums.</w:t>
      </w:r>
    </w:p>
    <w:p w:rsidR="004C2001" w:rsidRPr="00966F20" w:rsidRDefault="00CD3004" w:rsidP="004C2001">
      <w:pPr>
        <w:widowControl w:val="0"/>
        <w:tabs>
          <w:tab w:val="center" w:pos="4559"/>
        </w:tabs>
        <w:spacing w:before="120"/>
        <w:rPr>
          <w:rFonts w:asciiTheme="minorHAnsi" w:hAnsiTheme="minorHAnsi"/>
          <w:i/>
          <w:color w:val="943634" w:themeColor="accent2" w:themeShade="BF"/>
        </w:rPr>
      </w:pPr>
      <w:r>
        <w:rPr>
          <w:rFonts w:asciiTheme="minorHAnsi" w:hAnsiTheme="minorHAnsi"/>
          <w:i/>
          <w:color w:val="943634" w:themeColor="accent2" w:themeShade="BF"/>
        </w:rPr>
        <w:t>Lauku apskatēs atzītās platības pa kultūraugu grupām 2012.gadā</w:t>
      </w:r>
    </w:p>
    <w:p w:rsidR="00961EEC" w:rsidRDefault="00961EEC" w:rsidP="00961EEC">
      <w:pPr>
        <w:jc w:val="both"/>
      </w:pPr>
    </w:p>
    <w:p w:rsidR="00961EEC" w:rsidRPr="00E82EBE" w:rsidRDefault="00961EEC" w:rsidP="004C2001">
      <w:r>
        <w:rPr>
          <w:noProof/>
        </w:rPr>
        <w:drawing>
          <wp:inline distT="0" distB="0" distL="0" distR="0" wp14:anchorId="5FEE9E40" wp14:editId="6039DC55">
            <wp:extent cx="3356891" cy="17919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9">
                      <a:duotone>
                        <a:schemeClr val="accent3">
                          <a:shade val="45000"/>
                          <a:satMod val="135000"/>
                        </a:schemeClr>
                        <a:prstClr val="white"/>
                      </a:duotone>
                      <a:extLst>
                        <a:ext uri="{28A0092B-C50C-407E-A947-70E740481C1C}">
                          <a14:useLocalDpi xmlns:a14="http://schemas.microsoft.com/office/drawing/2010/main" val="0"/>
                        </a:ext>
                      </a:extLst>
                    </a:blip>
                    <a:srcRect l="18741" t="11750" r="1171" b="8461"/>
                    <a:stretch/>
                  </pic:blipFill>
                  <pic:spPr bwMode="auto">
                    <a:xfrm>
                      <a:off x="0" y="0"/>
                      <a:ext cx="3358007" cy="1792574"/>
                    </a:xfrm>
                    <a:prstGeom prst="rect">
                      <a:avLst/>
                    </a:prstGeom>
                    <a:noFill/>
                    <a:ln>
                      <a:noFill/>
                    </a:ln>
                    <a:extLst>
                      <a:ext uri="{53640926-AAD7-44D8-BBD7-CCE9431645EC}">
                        <a14:shadowObscured xmlns:a14="http://schemas.microsoft.com/office/drawing/2010/main"/>
                      </a:ext>
                    </a:extLst>
                  </pic:spPr>
                </pic:pic>
              </a:graphicData>
            </a:graphic>
          </wp:inline>
        </w:drawing>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 xml:space="preserve">Salīdzinot sadalījumu pa kultūraugu grupām redzams, ka vislielāko platību lauku apskatēs aizņem labību sugas – kopā 70% no kopā atzītajiem laukiem lauku apskatēs. Lopbarības augi attiecīgi aizņem 26% no kopā atzītajiem laukiem lauku apskatēs, bet kartupeļu sēklaudzēšanas lauki aizņem tikai nedaudz vairāk kā 3%. Jau trešo gadu pēc kārtas Latvijā netiek veikta sēklaudzēšana eļļas augiem un šķiedraugiem. Sīkāks sadalījums atzītajām platībām lauku apskatēs pa kultūraugu grupām attēlots diagrammā. </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 xml:space="preserve">Salīdzinot sēklaudzētāju skaitu, kas audzē attiecīgo kultūraugu grupu, var secināt, ka ļoti līdzīgs ir sēklaudzētāju skaits, kas izvēlējušies audzēt labības un lopbarības augus. Sēklaudzētāji nedaudz vairāk ir izvēlējušies audzēt labības - 64 sēklaudzētāji, lopbarības augus audzē 60 sēklaudzētāji, bet kartupeļus audzē 25 sēklaudzētāji. </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2012.gadā vislielākās sēklaudzēšanas platības ir bijušas Zemgales reģionā – apmēram 39% no kopā veiktajām lauku apskatēm, nākamais reģions ir Kurzemes ar gandrīz 27%, Vidzemes reģions ar nedaudz vairāk kā 14%, Latgales reģions ar gandrīz 13% un Rīgas reģions ar gandrīz 7%. Taču sēklaudzētāju skaits, kas pieteikuši savus sēklaudzēšanas laukus lauku apskatēm, ir gandrīz vienāds visos reģionos, izņemot nedaudz mazāk aktīvo sēklaudzētāju ir Latgales reģionā, attiecīgi pa reģioniem – Zemgales reģionā ir 28 aktīvie sēklaudzētāji, V</w:t>
      </w:r>
      <w:smartTag w:uri="urn:schemas-microsoft-com:office:smarttags" w:element="PersonName">
        <w:r w:rsidRPr="00CD3004">
          <w:rPr>
            <w:rFonts w:asciiTheme="minorHAnsi" w:hAnsiTheme="minorHAnsi"/>
          </w:rPr>
          <w:t>id</w:t>
        </w:r>
      </w:smartTag>
      <w:r w:rsidRPr="00CD3004">
        <w:rPr>
          <w:rFonts w:asciiTheme="minorHAnsi" w:hAnsiTheme="minorHAnsi"/>
        </w:rPr>
        <w:t>zemes reģionā – 27, Rīgas reģionā – 25, Kurzemes reģionā - 25, Latgales reģionā – 17. Analizējot pa sugu grupām tad labības visvairāk tiek audzētas Zemgales reģionā – 43% no visām veiktajām lauku apskatēm labībām, lopbarības augus vairāk audzē Vidzemes un Zemgales reģionā – katrā apmēram 30%, bet kartupeļu sēklaudzētāju visvairāk ir Rīgas reģionā – 54%.</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Sēklaudzēšanas laukos audzēto šķirņu skaits ir ļoti līdzīgs ar iepriekšējo gadu, un izmaiņas nav būtiskas. Ar 2012.gadā populārākajām šķirnēm var iepazīties tabulā.</w:t>
      </w:r>
    </w:p>
    <w:p w:rsidR="00961EEC" w:rsidRDefault="00961EEC" w:rsidP="00961EEC">
      <w:pPr>
        <w:jc w:val="center"/>
        <w:rPr>
          <w:b/>
        </w:rPr>
      </w:pPr>
    </w:p>
    <w:p w:rsidR="00CD3004" w:rsidRPr="00561367" w:rsidRDefault="00CD3004">
      <w:pPr>
        <w:rPr>
          <w:rFonts w:asciiTheme="minorHAnsi" w:hAnsiTheme="minorHAnsi"/>
          <w:sz w:val="4"/>
          <w:szCs w:val="4"/>
        </w:rPr>
      </w:pPr>
    </w:p>
    <w:p w:rsidR="00961EEC" w:rsidRPr="00CD3004" w:rsidRDefault="00961EEC" w:rsidP="00CD3004">
      <w:pPr>
        <w:shd w:val="clear" w:color="auto" w:fill="DAEEF3" w:themeFill="accent5" w:themeFillTint="33"/>
        <w:jc w:val="both"/>
        <w:rPr>
          <w:rFonts w:asciiTheme="minorHAnsi" w:hAnsiTheme="minorHAnsi"/>
        </w:rPr>
      </w:pPr>
      <w:r w:rsidRPr="00CD3004">
        <w:rPr>
          <w:rFonts w:asciiTheme="minorHAnsi" w:hAnsiTheme="minorHAnsi"/>
        </w:rPr>
        <w:t>Populārākās šķirnes lauku apskatē 2012.gadā</w:t>
      </w:r>
    </w:p>
    <w:p w:rsidR="00961EEC" w:rsidRPr="007E4E31" w:rsidRDefault="00961EEC" w:rsidP="00961EEC">
      <w:pPr>
        <w:jc w:val="both"/>
      </w:pPr>
    </w:p>
    <w:tbl>
      <w:tblPr>
        <w:tblW w:w="5000" w:type="pct"/>
        <w:tblBorders>
          <w:top w:val="single" w:sz="8" w:space="0" w:color="31849B" w:themeColor="accent5" w:themeShade="BF"/>
          <w:bottom w:val="single" w:sz="8" w:space="0" w:color="31849B" w:themeColor="accent5" w:themeShade="BF"/>
          <w:insideH w:val="single" w:sz="8" w:space="0" w:color="31849B" w:themeColor="accent5" w:themeShade="BF"/>
        </w:tblBorders>
        <w:tblLook w:val="0000" w:firstRow="0" w:lastRow="0" w:firstColumn="0" w:lastColumn="0" w:noHBand="0" w:noVBand="0"/>
      </w:tblPr>
      <w:tblGrid>
        <w:gridCol w:w="1947"/>
        <w:gridCol w:w="1449"/>
        <w:gridCol w:w="5938"/>
      </w:tblGrid>
      <w:tr w:rsidR="00961EEC" w:rsidRPr="00561367" w:rsidTr="00CD3004">
        <w:trPr>
          <w:trHeight w:val="315"/>
        </w:trPr>
        <w:tc>
          <w:tcPr>
            <w:tcW w:w="1043" w:type="pct"/>
            <w:shd w:val="clear" w:color="auto" w:fill="auto"/>
            <w:noWrap/>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Suga</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Šķirņu skaits</w:t>
            </w:r>
          </w:p>
        </w:tc>
        <w:tc>
          <w:tcPr>
            <w:tcW w:w="3181" w:type="pct"/>
            <w:shd w:val="clear" w:color="auto" w:fill="auto"/>
            <w:noWrap/>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Populārākās šķirnes ( % no sugai kopā veiktajām LA)</w:t>
            </w:r>
          </w:p>
        </w:tc>
      </w:tr>
      <w:tr w:rsidR="00961EEC" w:rsidRPr="00561367" w:rsidTr="00CD3004">
        <w:trPr>
          <w:trHeight w:val="315"/>
        </w:trPr>
        <w:tc>
          <w:tcPr>
            <w:tcW w:w="5000" w:type="pct"/>
            <w:gridSpan w:val="3"/>
            <w:shd w:val="clear" w:color="auto" w:fill="auto"/>
            <w:noWrap/>
            <w:vAlign w:val="bottom"/>
          </w:tcPr>
          <w:p w:rsidR="00961EEC" w:rsidRPr="00561367" w:rsidRDefault="00961EEC" w:rsidP="00CD3004">
            <w:pPr>
              <w:widowControl w:val="0"/>
              <w:spacing w:line="285" w:lineRule="auto"/>
              <w:rPr>
                <w:rFonts w:asciiTheme="minorHAnsi" w:hAnsiTheme="minorHAnsi"/>
                <w:b/>
                <w:sz w:val="20"/>
                <w:szCs w:val="20"/>
              </w:rPr>
            </w:pPr>
            <w:r w:rsidRPr="00561367">
              <w:rPr>
                <w:rFonts w:asciiTheme="minorHAnsi" w:hAnsiTheme="minorHAnsi"/>
                <w:b/>
                <w:bCs/>
                <w:sz w:val="20"/>
                <w:szCs w:val="20"/>
              </w:rPr>
              <w:t>Vasarāju labības</w:t>
            </w:r>
            <w:r w:rsidRPr="00561367">
              <w:rPr>
                <w:rFonts w:asciiTheme="minorHAnsi" w:hAnsiTheme="minorHAnsi"/>
                <w:b/>
                <w:sz w:val="20"/>
                <w:szCs w:val="20"/>
              </w:rPr>
              <w:t xml:space="preserve"> </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vasaras mieži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23</w:t>
            </w:r>
          </w:p>
        </w:tc>
        <w:tc>
          <w:tcPr>
            <w:tcW w:w="3181"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Propino</w:t>
            </w:r>
            <w:proofErr w:type="spellEnd"/>
            <w:r w:rsidRPr="00561367">
              <w:rPr>
                <w:rFonts w:asciiTheme="minorHAnsi" w:hAnsiTheme="minorHAnsi"/>
                <w:sz w:val="20"/>
                <w:szCs w:val="20"/>
              </w:rPr>
              <w:t>’ (17%), ‘</w:t>
            </w:r>
            <w:proofErr w:type="spellStart"/>
            <w:r w:rsidRPr="00561367">
              <w:rPr>
                <w:rFonts w:asciiTheme="minorHAnsi" w:hAnsiTheme="minorHAnsi"/>
                <w:sz w:val="20"/>
                <w:szCs w:val="20"/>
              </w:rPr>
              <w:t>Publican</w:t>
            </w:r>
            <w:proofErr w:type="spellEnd"/>
            <w:r w:rsidRPr="00561367">
              <w:rPr>
                <w:rFonts w:asciiTheme="minorHAnsi" w:hAnsiTheme="minorHAnsi"/>
                <w:sz w:val="20"/>
                <w:szCs w:val="20"/>
              </w:rPr>
              <w:t>’ (12%); ‘Ansis’ (9%)</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lastRenderedPageBreak/>
              <w:t>vasaras kvieši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13</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Taifun</w:t>
            </w:r>
            <w:proofErr w:type="spellEnd"/>
            <w:r w:rsidRPr="00561367">
              <w:rPr>
                <w:rFonts w:asciiTheme="minorHAnsi" w:hAnsiTheme="minorHAnsi"/>
                <w:sz w:val="20"/>
                <w:szCs w:val="20"/>
              </w:rPr>
              <w:t>’ (26%), ‘</w:t>
            </w:r>
            <w:proofErr w:type="spellStart"/>
            <w:r w:rsidRPr="00561367">
              <w:rPr>
                <w:rFonts w:asciiTheme="minorHAnsi" w:hAnsiTheme="minorHAnsi"/>
                <w:sz w:val="20"/>
                <w:szCs w:val="20"/>
              </w:rPr>
              <w:t>Vinjett</w:t>
            </w:r>
            <w:proofErr w:type="spellEnd"/>
            <w:r w:rsidRPr="00561367">
              <w:rPr>
                <w:rFonts w:asciiTheme="minorHAnsi" w:hAnsiTheme="minorHAnsi"/>
                <w:sz w:val="20"/>
                <w:szCs w:val="20"/>
              </w:rPr>
              <w:t>’ (21%);´Hamlet’ (13% ),</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auzas</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‘Laima’ (62%), ‘</w:t>
            </w:r>
            <w:proofErr w:type="spellStart"/>
            <w:r w:rsidRPr="00561367">
              <w:rPr>
                <w:rFonts w:asciiTheme="minorHAnsi" w:hAnsiTheme="minorHAnsi"/>
                <w:sz w:val="20"/>
                <w:szCs w:val="20"/>
              </w:rPr>
              <w:t>Ivory</w:t>
            </w:r>
            <w:proofErr w:type="spellEnd"/>
            <w:r w:rsidRPr="00561367">
              <w:rPr>
                <w:rFonts w:asciiTheme="minorHAnsi" w:hAnsiTheme="minorHAnsi"/>
                <w:sz w:val="20"/>
                <w:szCs w:val="20"/>
              </w:rPr>
              <w:t>’ (17%), ‘</w:t>
            </w:r>
            <w:proofErr w:type="spellStart"/>
            <w:r w:rsidRPr="00561367">
              <w:rPr>
                <w:rFonts w:asciiTheme="minorHAnsi" w:hAnsiTheme="minorHAnsi"/>
                <w:sz w:val="20"/>
                <w:szCs w:val="20"/>
              </w:rPr>
              <w:t>Belinda</w:t>
            </w:r>
            <w:proofErr w:type="spellEnd"/>
            <w:r w:rsidRPr="00561367">
              <w:rPr>
                <w:rFonts w:asciiTheme="minorHAnsi" w:hAnsiTheme="minorHAnsi"/>
                <w:sz w:val="20"/>
                <w:szCs w:val="20"/>
              </w:rPr>
              <w:t>’ (16%);</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griķi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‘Aiva’</w:t>
            </w:r>
          </w:p>
        </w:tc>
      </w:tr>
      <w:tr w:rsidR="00961EEC" w:rsidRPr="00561367" w:rsidTr="00CD3004">
        <w:trPr>
          <w:trHeight w:val="315"/>
        </w:trPr>
        <w:tc>
          <w:tcPr>
            <w:tcW w:w="5000" w:type="pct"/>
            <w:gridSpan w:val="3"/>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b/>
                <w:bCs/>
                <w:sz w:val="20"/>
                <w:szCs w:val="20"/>
              </w:rPr>
              <w:t>Ziemāju labības</w:t>
            </w:r>
            <w:r w:rsidRPr="00561367">
              <w:rPr>
                <w:rFonts w:asciiTheme="minorHAnsi" w:hAnsiTheme="minorHAnsi"/>
                <w:sz w:val="20"/>
                <w:szCs w:val="20"/>
              </w:rPr>
              <w:t xml:space="preserve">  </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ziemas kvieši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22</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Skagen</w:t>
            </w:r>
            <w:proofErr w:type="spellEnd"/>
            <w:r w:rsidRPr="00561367">
              <w:rPr>
                <w:rFonts w:asciiTheme="minorHAnsi" w:hAnsiTheme="minorHAnsi"/>
                <w:sz w:val="20"/>
                <w:szCs w:val="20"/>
              </w:rPr>
              <w:t>’ (22%), ‘Fredis’ (20%), ‘</w:t>
            </w:r>
            <w:proofErr w:type="spellStart"/>
            <w:r w:rsidRPr="00561367">
              <w:rPr>
                <w:rFonts w:asciiTheme="minorHAnsi" w:hAnsiTheme="minorHAnsi"/>
                <w:sz w:val="20"/>
                <w:szCs w:val="20"/>
              </w:rPr>
              <w:t>Zentos</w:t>
            </w:r>
            <w:proofErr w:type="spellEnd"/>
            <w:r w:rsidRPr="00561367">
              <w:rPr>
                <w:rFonts w:asciiTheme="minorHAnsi" w:hAnsiTheme="minorHAnsi"/>
                <w:sz w:val="20"/>
                <w:szCs w:val="20"/>
              </w:rPr>
              <w:t>’ (10%)</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ziema tritikāle</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 xml:space="preserve">‘SW </w:t>
            </w:r>
            <w:proofErr w:type="spellStart"/>
            <w:r w:rsidRPr="00561367">
              <w:rPr>
                <w:rFonts w:asciiTheme="minorHAnsi" w:hAnsiTheme="minorHAnsi"/>
                <w:sz w:val="20"/>
                <w:szCs w:val="20"/>
              </w:rPr>
              <w:t>Falmoro</w:t>
            </w:r>
            <w:proofErr w:type="spellEnd"/>
            <w:r w:rsidRPr="00561367">
              <w:rPr>
                <w:rFonts w:asciiTheme="minorHAnsi" w:hAnsiTheme="minorHAnsi"/>
                <w:sz w:val="20"/>
                <w:szCs w:val="20"/>
              </w:rPr>
              <w:t xml:space="preserve">’ (43%), ‘SW </w:t>
            </w:r>
            <w:proofErr w:type="spellStart"/>
            <w:r w:rsidRPr="00561367">
              <w:rPr>
                <w:rFonts w:asciiTheme="minorHAnsi" w:hAnsiTheme="minorHAnsi"/>
                <w:sz w:val="20"/>
                <w:szCs w:val="20"/>
              </w:rPr>
              <w:t>Valentino</w:t>
            </w:r>
            <w:proofErr w:type="spellEnd"/>
            <w:r w:rsidRPr="00561367">
              <w:rPr>
                <w:rFonts w:asciiTheme="minorHAnsi" w:hAnsiTheme="minorHAnsi"/>
                <w:sz w:val="20"/>
                <w:szCs w:val="20"/>
              </w:rPr>
              <w:t>’ (23%), ‘</w:t>
            </w:r>
            <w:proofErr w:type="spellStart"/>
            <w:r w:rsidRPr="00561367">
              <w:rPr>
                <w:rFonts w:asciiTheme="minorHAnsi" w:hAnsiTheme="minorHAnsi"/>
                <w:sz w:val="20"/>
                <w:szCs w:val="20"/>
              </w:rPr>
              <w:t>Leontino</w:t>
            </w:r>
            <w:proofErr w:type="spellEnd"/>
            <w:r w:rsidRPr="00561367">
              <w:rPr>
                <w:rFonts w:asciiTheme="minorHAnsi" w:hAnsiTheme="minorHAnsi"/>
                <w:sz w:val="20"/>
                <w:szCs w:val="20"/>
              </w:rPr>
              <w:t>’ (16%)</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rudzi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‘Kaupo’ (29%), ‘</w:t>
            </w:r>
            <w:proofErr w:type="spellStart"/>
            <w:r w:rsidRPr="00561367">
              <w:rPr>
                <w:rFonts w:asciiTheme="minorHAnsi" w:hAnsiTheme="minorHAnsi"/>
                <w:sz w:val="20"/>
                <w:szCs w:val="20"/>
              </w:rPr>
              <w:t>Dańkowskie</w:t>
            </w:r>
            <w:proofErr w:type="spellEnd"/>
            <w:r w:rsidRPr="00561367">
              <w:rPr>
                <w:rFonts w:asciiTheme="minorHAnsi" w:hAnsiTheme="minorHAnsi"/>
                <w:sz w:val="20"/>
                <w:szCs w:val="20"/>
              </w:rPr>
              <w:t xml:space="preserve"> </w:t>
            </w:r>
            <w:proofErr w:type="spellStart"/>
            <w:r w:rsidRPr="00561367">
              <w:rPr>
                <w:rFonts w:asciiTheme="minorHAnsi" w:hAnsiTheme="minorHAnsi"/>
                <w:sz w:val="20"/>
                <w:szCs w:val="20"/>
              </w:rPr>
              <w:t>Diament</w:t>
            </w:r>
            <w:proofErr w:type="spellEnd"/>
            <w:r w:rsidRPr="00561367">
              <w:rPr>
                <w:rFonts w:asciiTheme="minorHAnsi" w:hAnsiTheme="minorHAnsi"/>
                <w:sz w:val="20"/>
                <w:szCs w:val="20"/>
              </w:rPr>
              <w:t>’ (24%) , ‘</w:t>
            </w:r>
            <w:proofErr w:type="spellStart"/>
            <w:r w:rsidRPr="00561367">
              <w:rPr>
                <w:rFonts w:asciiTheme="minorHAnsi" w:hAnsiTheme="minorHAnsi"/>
                <w:sz w:val="20"/>
                <w:szCs w:val="20"/>
              </w:rPr>
              <w:t>Kier</w:t>
            </w:r>
            <w:proofErr w:type="spellEnd"/>
            <w:r w:rsidRPr="00561367">
              <w:rPr>
                <w:rFonts w:asciiTheme="minorHAnsi" w:hAnsiTheme="minorHAnsi"/>
                <w:sz w:val="20"/>
                <w:szCs w:val="20"/>
              </w:rPr>
              <w:t>’ (24%);</w:t>
            </w:r>
          </w:p>
        </w:tc>
      </w:tr>
      <w:tr w:rsidR="00961EEC" w:rsidRPr="00561367" w:rsidTr="00CD3004">
        <w:trPr>
          <w:trHeight w:val="315"/>
        </w:trPr>
        <w:tc>
          <w:tcPr>
            <w:tcW w:w="5000" w:type="pct"/>
            <w:gridSpan w:val="3"/>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b/>
                <w:bCs/>
                <w:sz w:val="20"/>
                <w:szCs w:val="20"/>
              </w:rPr>
              <w:t>Stiebrzāles</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pļavas auzene</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‘Arita’ (76%);</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timotiņš</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‘Jumis (Priekuļu 2)’ (92%);</w:t>
            </w:r>
          </w:p>
        </w:tc>
      </w:tr>
      <w:tr w:rsidR="00961EEC" w:rsidRPr="00561367" w:rsidTr="00CD3004">
        <w:trPr>
          <w:trHeight w:val="315"/>
        </w:trPr>
        <w:tc>
          <w:tcPr>
            <w:tcW w:w="1043" w:type="pct"/>
            <w:shd w:val="clear" w:color="auto" w:fill="auto"/>
            <w:noWrap/>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ganību airene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Bartwingo</w:t>
            </w:r>
            <w:proofErr w:type="spellEnd"/>
            <w:r w:rsidRPr="00561367">
              <w:rPr>
                <w:rFonts w:asciiTheme="minorHAnsi" w:hAnsiTheme="minorHAnsi"/>
                <w:sz w:val="20"/>
                <w:szCs w:val="20"/>
              </w:rPr>
              <w:t>’ (55%), ‘Spīdola’ (30%);</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pļavas skarene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‘Gatve’;</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sarkanā auzene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 xml:space="preserve">‘Vaive (Priekuļu 45)’; </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hibrīdā airene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 xml:space="preserve">‘Saikava (Ape)’; </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viengadīgā airene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‘Druva (Uva)’;</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proofErr w:type="spellStart"/>
            <w:r w:rsidRPr="00561367">
              <w:rPr>
                <w:rFonts w:asciiTheme="minorHAnsi" w:hAnsiTheme="minorHAnsi"/>
                <w:sz w:val="20"/>
                <w:szCs w:val="20"/>
              </w:rPr>
              <w:t>auzeņairene</w:t>
            </w:r>
            <w:proofErr w:type="spellEnd"/>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Vizule</w:t>
            </w:r>
            <w:proofErr w:type="spellEnd"/>
            <w:r w:rsidRPr="00561367">
              <w:rPr>
                <w:rFonts w:asciiTheme="minorHAnsi" w:hAnsiTheme="minorHAnsi"/>
                <w:sz w:val="20"/>
                <w:szCs w:val="20"/>
              </w:rPr>
              <w:t>’</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kamolzāle</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‘Priekuļu 30’;</w:t>
            </w:r>
          </w:p>
        </w:tc>
      </w:tr>
      <w:tr w:rsidR="00961EEC" w:rsidRPr="00561367" w:rsidTr="00CD3004">
        <w:trPr>
          <w:trHeight w:val="315"/>
        </w:trPr>
        <w:tc>
          <w:tcPr>
            <w:tcW w:w="5000" w:type="pct"/>
            <w:gridSpan w:val="3"/>
            <w:shd w:val="clear" w:color="auto" w:fill="auto"/>
            <w:noWrap/>
            <w:vAlign w:val="bottom"/>
          </w:tcPr>
          <w:p w:rsidR="00961EEC" w:rsidRPr="00561367" w:rsidRDefault="00961EEC" w:rsidP="00CD3004">
            <w:pPr>
              <w:widowControl w:val="0"/>
              <w:spacing w:line="285" w:lineRule="auto"/>
              <w:rPr>
                <w:rFonts w:asciiTheme="minorHAnsi" w:hAnsiTheme="minorHAnsi"/>
                <w:b/>
                <w:sz w:val="20"/>
                <w:szCs w:val="20"/>
              </w:rPr>
            </w:pPr>
            <w:r w:rsidRPr="00561367">
              <w:rPr>
                <w:rFonts w:asciiTheme="minorHAnsi" w:hAnsiTheme="minorHAnsi"/>
                <w:b/>
                <w:bCs/>
                <w:sz w:val="20"/>
                <w:szCs w:val="20"/>
              </w:rPr>
              <w:t>Pākšaugi</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sējas zirņi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 xml:space="preserve">‘SW </w:t>
            </w:r>
            <w:proofErr w:type="spellStart"/>
            <w:r w:rsidRPr="00561367">
              <w:rPr>
                <w:rFonts w:asciiTheme="minorHAnsi" w:hAnsiTheme="minorHAnsi"/>
                <w:sz w:val="20"/>
                <w:szCs w:val="20"/>
              </w:rPr>
              <w:t>Clara</w:t>
            </w:r>
            <w:proofErr w:type="spellEnd"/>
            <w:r w:rsidRPr="00561367">
              <w:rPr>
                <w:rFonts w:asciiTheme="minorHAnsi" w:hAnsiTheme="minorHAnsi"/>
                <w:sz w:val="20"/>
                <w:szCs w:val="20"/>
              </w:rPr>
              <w:t>’ (40%), ‘</w:t>
            </w:r>
            <w:proofErr w:type="spellStart"/>
            <w:r w:rsidRPr="00561367">
              <w:rPr>
                <w:rFonts w:asciiTheme="minorHAnsi" w:hAnsiTheme="minorHAnsi"/>
                <w:sz w:val="20"/>
                <w:szCs w:val="20"/>
              </w:rPr>
              <w:t>Vitra</w:t>
            </w:r>
            <w:proofErr w:type="spellEnd"/>
            <w:r w:rsidRPr="00561367">
              <w:rPr>
                <w:rFonts w:asciiTheme="minorHAnsi" w:hAnsiTheme="minorHAnsi"/>
                <w:sz w:val="20"/>
                <w:szCs w:val="20"/>
              </w:rPr>
              <w:t>’ (23%);</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lauka pupas</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Fuego</w:t>
            </w:r>
            <w:proofErr w:type="spellEnd"/>
            <w:r w:rsidRPr="00561367">
              <w:rPr>
                <w:rFonts w:asciiTheme="minorHAnsi" w:hAnsiTheme="minorHAnsi"/>
                <w:sz w:val="20"/>
                <w:szCs w:val="20"/>
              </w:rPr>
              <w:t>’;</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vasaras vīķi</w:t>
            </w:r>
          </w:p>
        </w:tc>
        <w:tc>
          <w:tcPr>
            <w:tcW w:w="776" w:type="pct"/>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Ebena</w:t>
            </w:r>
            <w:proofErr w:type="spellEnd"/>
            <w:r w:rsidRPr="00561367">
              <w:rPr>
                <w:rFonts w:asciiTheme="minorHAnsi" w:hAnsiTheme="minorHAnsi"/>
                <w:sz w:val="20"/>
                <w:szCs w:val="20"/>
              </w:rPr>
              <w:t>’</w:t>
            </w:r>
          </w:p>
        </w:tc>
      </w:tr>
      <w:tr w:rsidR="00961EEC" w:rsidRPr="00561367" w:rsidTr="00CD3004">
        <w:trPr>
          <w:trHeight w:val="315"/>
        </w:trPr>
        <w:tc>
          <w:tcPr>
            <w:tcW w:w="5000" w:type="pct"/>
            <w:gridSpan w:val="3"/>
            <w:shd w:val="clear" w:color="auto" w:fill="auto"/>
            <w:noWrap/>
            <w:vAlign w:val="bottom"/>
          </w:tcPr>
          <w:p w:rsidR="00961EEC" w:rsidRPr="00561367" w:rsidRDefault="00961EEC" w:rsidP="00CD3004">
            <w:pPr>
              <w:widowControl w:val="0"/>
              <w:spacing w:line="285" w:lineRule="auto"/>
              <w:rPr>
                <w:rFonts w:asciiTheme="minorHAnsi" w:hAnsiTheme="minorHAnsi"/>
                <w:b/>
                <w:sz w:val="20"/>
                <w:szCs w:val="20"/>
              </w:rPr>
            </w:pPr>
            <w:r w:rsidRPr="00561367">
              <w:rPr>
                <w:rFonts w:asciiTheme="minorHAnsi" w:hAnsiTheme="minorHAnsi"/>
                <w:b/>
                <w:bCs/>
                <w:sz w:val="20"/>
                <w:szCs w:val="20"/>
              </w:rPr>
              <w:t xml:space="preserve">Tauriņzieži </w:t>
            </w:r>
          </w:p>
        </w:tc>
      </w:tr>
      <w:tr w:rsidR="00961EEC" w:rsidRPr="00561367" w:rsidTr="00CD3004">
        <w:trPr>
          <w:trHeight w:val="315"/>
        </w:trPr>
        <w:tc>
          <w:tcPr>
            <w:tcW w:w="1043" w:type="pct"/>
            <w:shd w:val="clear" w:color="auto" w:fill="auto"/>
            <w:noWrap/>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sarkanais āboliņš</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roofErr w:type="spellStart"/>
            <w:r w:rsidRPr="00561367">
              <w:rPr>
                <w:rFonts w:asciiTheme="minorHAnsi" w:hAnsiTheme="minorHAnsi"/>
                <w:sz w:val="20"/>
                <w:szCs w:val="20"/>
              </w:rPr>
              <w:t>Raunis</w:t>
            </w:r>
            <w:proofErr w:type="spellEnd"/>
            <w:r w:rsidRPr="00561367">
              <w:rPr>
                <w:rFonts w:asciiTheme="minorHAnsi" w:hAnsiTheme="minorHAnsi"/>
                <w:sz w:val="20"/>
                <w:szCs w:val="20"/>
              </w:rPr>
              <w:t xml:space="preserve"> (Priekuļu 66)’ (38%), ‘Dižstende’ (29%);</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bastarda āboliņš</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3181" w:type="pct"/>
            <w:shd w:val="clear" w:color="auto" w:fill="auto"/>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‘Namejs’ (92%);</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baltais āboliņš</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‘Daile (Priekuļu 61)’;</w:t>
            </w:r>
          </w:p>
        </w:tc>
      </w:tr>
      <w:tr w:rsidR="00961EEC" w:rsidRPr="00561367" w:rsidTr="00CD3004">
        <w:trPr>
          <w:trHeight w:val="315"/>
        </w:trPr>
        <w:tc>
          <w:tcPr>
            <w:tcW w:w="1043" w:type="pct"/>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hibrīdā lucerna</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3181" w:type="pct"/>
            <w:shd w:val="clear" w:color="auto" w:fill="auto"/>
            <w:vAlign w:val="bottom"/>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‘Skrīveru’;</w:t>
            </w:r>
          </w:p>
        </w:tc>
      </w:tr>
      <w:tr w:rsidR="00961EEC" w:rsidRPr="00561367" w:rsidTr="00CD3004">
        <w:trPr>
          <w:trHeight w:val="315"/>
        </w:trPr>
        <w:tc>
          <w:tcPr>
            <w:tcW w:w="1043" w:type="pct"/>
            <w:shd w:val="clear" w:color="auto" w:fill="auto"/>
            <w:noWrap/>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 xml:space="preserve">Kartupeļi </w:t>
            </w:r>
          </w:p>
        </w:tc>
        <w:tc>
          <w:tcPr>
            <w:tcW w:w="776" w:type="pct"/>
            <w:shd w:val="clear" w:color="auto" w:fill="auto"/>
            <w:noWrap/>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49</w:t>
            </w:r>
          </w:p>
        </w:tc>
        <w:tc>
          <w:tcPr>
            <w:tcW w:w="3181" w:type="pct"/>
            <w:shd w:val="clear" w:color="auto" w:fill="auto"/>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 xml:space="preserve"> ‘</w:t>
            </w:r>
            <w:proofErr w:type="spellStart"/>
            <w:r w:rsidRPr="00561367">
              <w:rPr>
                <w:rFonts w:asciiTheme="minorHAnsi" w:hAnsiTheme="minorHAnsi"/>
                <w:sz w:val="20"/>
                <w:szCs w:val="20"/>
              </w:rPr>
              <w:t>Lady</w:t>
            </w:r>
            <w:proofErr w:type="spellEnd"/>
            <w:r w:rsidRPr="00561367">
              <w:rPr>
                <w:rFonts w:asciiTheme="minorHAnsi" w:hAnsiTheme="minorHAnsi"/>
                <w:sz w:val="20"/>
                <w:szCs w:val="20"/>
              </w:rPr>
              <w:t xml:space="preserve"> </w:t>
            </w:r>
            <w:proofErr w:type="spellStart"/>
            <w:r w:rsidRPr="00561367">
              <w:rPr>
                <w:rFonts w:asciiTheme="minorHAnsi" w:hAnsiTheme="minorHAnsi"/>
                <w:sz w:val="20"/>
                <w:szCs w:val="20"/>
              </w:rPr>
              <w:t>Claire</w:t>
            </w:r>
            <w:proofErr w:type="spellEnd"/>
            <w:r w:rsidRPr="00561367">
              <w:rPr>
                <w:rFonts w:asciiTheme="minorHAnsi" w:hAnsiTheme="minorHAnsi"/>
                <w:sz w:val="20"/>
                <w:szCs w:val="20"/>
              </w:rPr>
              <w:t>’ (8%),‘ Saturna’ (7%), ‘Vineta’(6%)</w:t>
            </w:r>
          </w:p>
        </w:tc>
      </w:tr>
    </w:tbl>
    <w:p w:rsidR="00961EEC" w:rsidRDefault="00961EEC" w:rsidP="00961EEC">
      <w:pPr>
        <w:jc w:val="both"/>
      </w:pPr>
    </w:p>
    <w:p w:rsidR="00961EEC" w:rsidRPr="00CD3004" w:rsidRDefault="00961EEC" w:rsidP="00CD3004">
      <w:pPr>
        <w:widowControl w:val="0"/>
        <w:spacing w:before="120"/>
        <w:jc w:val="both"/>
        <w:rPr>
          <w:rFonts w:asciiTheme="minorHAnsi" w:hAnsiTheme="minorHAnsi"/>
          <w:b/>
        </w:rPr>
      </w:pPr>
      <w:r w:rsidRPr="00CD3004">
        <w:rPr>
          <w:rFonts w:asciiTheme="minorHAnsi" w:hAnsiTheme="minorHAnsi"/>
          <w:b/>
        </w:rPr>
        <w:t>Lauka pēcpārbaude</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 gadā šķirnes identitātes un šķirnes tīrības izvērtēšana lauka pēcpārbaudē veikta 195 ziemāju labību sēklu partijām, 181vasarāju labību sēklu partijai un 113 lopbarības augu sēklu partijām.</w:t>
      </w:r>
    </w:p>
    <w:p w:rsidR="00961EEC" w:rsidRPr="001E736D" w:rsidRDefault="00961EEC" w:rsidP="00961EEC"/>
    <w:p w:rsidR="00961EEC" w:rsidRPr="00CD3004" w:rsidRDefault="00961EEC" w:rsidP="00CD3004">
      <w:pPr>
        <w:shd w:val="clear" w:color="auto" w:fill="DAEEF3" w:themeFill="accent5" w:themeFillTint="33"/>
        <w:jc w:val="both"/>
        <w:rPr>
          <w:rFonts w:asciiTheme="minorHAnsi" w:hAnsiTheme="minorHAnsi"/>
        </w:rPr>
      </w:pPr>
      <w:r w:rsidRPr="00CD3004">
        <w:rPr>
          <w:rFonts w:asciiTheme="minorHAnsi" w:hAnsiTheme="minorHAnsi"/>
        </w:rPr>
        <w:t>Sugu sadalījums lauka pēcpārbaudē</w:t>
      </w:r>
    </w:p>
    <w:p w:rsidR="00961EEC" w:rsidRPr="001E736D" w:rsidRDefault="00961EEC" w:rsidP="00961EEC"/>
    <w:tbl>
      <w:tblPr>
        <w:tblW w:w="7445" w:type="dxa"/>
        <w:tblLook w:val="0000" w:firstRow="0" w:lastRow="0" w:firstColumn="0" w:lastColumn="0" w:noHBand="0" w:noVBand="0"/>
      </w:tblPr>
      <w:tblGrid>
        <w:gridCol w:w="1002"/>
        <w:gridCol w:w="898"/>
        <w:gridCol w:w="2845"/>
        <w:gridCol w:w="1260"/>
        <w:gridCol w:w="1440"/>
      </w:tblGrid>
      <w:tr w:rsidR="00961EEC" w:rsidRPr="00561367" w:rsidTr="00CD3004">
        <w:trPr>
          <w:trHeight w:val="270"/>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b/>
                <w:sz w:val="20"/>
                <w:szCs w:val="20"/>
              </w:rPr>
            </w:pPr>
            <w:proofErr w:type="spellStart"/>
            <w:r w:rsidRPr="00561367">
              <w:rPr>
                <w:rFonts w:asciiTheme="minorHAnsi" w:hAnsiTheme="minorHAnsi"/>
                <w:b/>
                <w:sz w:val="20"/>
                <w:szCs w:val="20"/>
              </w:rPr>
              <w:t>Nr.p.k</w:t>
            </w:r>
            <w:proofErr w:type="spellEnd"/>
            <w:r w:rsidRPr="00561367">
              <w:rPr>
                <w:rFonts w:asciiTheme="minorHAnsi" w:hAnsiTheme="minorHAnsi"/>
                <w:b/>
                <w:sz w:val="20"/>
                <w:szCs w:val="20"/>
              </w:rPr>
              <w:t>.</w:t>
            </w:r>
          </w:p>
        </w:tc>
        <w:tc>
          <w:tcPr>
            <w:tcW w:w="3743" w:type="dxa"/>
            <w:gridSpan w:val="2"/>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Sugu grupa / suga</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Šķirņu skaits</w:t>
            </w:r>
          </w:p>
        </w:tc>
        <w:tc>
          <w:tcPr>
            <w:tcW w:w="1440"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Partiju skaits</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898" w:type="dxa"/>
            <w:vMerge w:val="restart"/>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ziemāju</w:t>
            </w:r>
          </w:p>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b/>
                <w:bCs/>
                <w:sz w:val="20"/>
                <w:szCs w:val="20"/>
              </w:rPr>
              <w:t>labības</w:t>
            </w: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ziemas kvieši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15</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161</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rudzi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7</w:t>
            </w:r>
          </w:p>
        </w:tc>
      </w:tr>
      <w:tr w:rsidR="00961EEC" w:rsidRPr="00561367" w:rsidTr="00CD3004">
        <w:trPr>
          <w:trHeight w:val="314"/>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ziemas tritikāle</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27</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4</w:t>
            </w:r>
          </w:p>
        </w:tc>
        <w:tc>
          <w:tcPr>
            <w:tcW w:w="898" w:type="dxa"/>
            <w:vMerge w:val="restart"/>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 xml:space="preserve">vasarāju </w:t>
            </w:r>
          </w:p>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labības</w:t>
            </w: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vasaras mieži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18</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67</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vasaras kvieši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81</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auzas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28</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7</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griķi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lastRenderedPageBreak/>
              <w:t>8.</w:t>
            </w:r>
          </w:p>
        </w:tc>
        <w:tc>
          <w:tcPr>
            <w:tcW w:w="898" w:type="dxa"/>
            <w:vMerge w:val="restart"/>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stiebrzāles</w:t>
            </w: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timotiņš</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20</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c>
          <w:tcPr>
            <w:tcW w:w="898" w:type="dxa"/>
            <w:vMerge/>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kamolzāle</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10.</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sarkanās auzenes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11.</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ganību airenes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12.</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pļavas auzenes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10</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13.</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viengadīgās airenes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19</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hibrīdās airenes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15.</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pļavas skarenes</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7</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16.</w:t>
            </w:r>
          </w:p>
        </w:tc>
        <w:tc>
          <w:tcPr>
            <w:tcW w:w="898" w:type="dxa"/>
            <w:vMerge w:val="restart"/>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tauriņ-</w:t>
            </w:r>
            <w:proofErr w:type="spellStart"/>
            <w:r w:rsidRPr="00561367">
              <w:rPr>
                <w:rFonts w:asciiTheme="minorHAnsi" w:hAnsiTheme="minorHAnsi"/>
                <w:b/>
                <w:bCs/>
                <w:sz w:val="20"/>
                <w:szCs w:val="20"/>
              </w:rPr>
              <w:t>zieži</w:t>
            </w:r>
            <w:proofErr w:type="spellEnd"/>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sarkanais āboliņš</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19</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17.</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bastarda āboliņš</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r>
      <w:tr w:rsidR="00961EEC" w:rsidRPr="00561367" w:rsidTr="00CD3004">
        <w:trPr>
          <w:trHeight w:val="315"/>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18.</w:t>
            </w:r>
          </w:p>
        </w:tc>
        <w:tc>
          <w:tcPr>
            <w:tcW w:w="898" w:type="dxa"/>
            <w:vMerge/>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rPr>
                <w:rFonts w:asciiTheme="minorHAnsi" w:hAnsiTheme="minorHAnsi"/>
                <w:sz w:val="20"/>
                <w:szCs w:val="20"/>
              </w:rPr>
            </w:pPr>
          </w:p>
        </w:tc>
        <w:tc>
          <w:tcPr>
            <w:tcW w:w="2845" w:type="dxa"/>
            <w:tcBorders>
              <w:top w:val="single" w:sz="8" w:space="0" w:color="31849B" w:themeColor="accent5" w:themeShade="BF"/>
              <w:bottom w:val="single" w:sz="8" w:space="0" w:color="31849B" w:themeColor="accent5" w:themeShade="BF"/>
            </w:tcBorders>
            <w:shd w:val="clear" w:color="auto" w:fill="auto"/>
            <w:noWrap/>
            <w:vAlign w:val="bottom"/>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baltais āboliņš</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8</w:t>
            </w:r>
          </w:p>
        </w:tc>
      </w:tr>
      <w:tr w:rsidR="00961EEC" w:rsidRPr="00561367" w:rsidTr="00CD3004">
        <w:trPr>
          <w:trHeight w:val="678"/>
        </w:trPr>
        <w:tc>
          <w:tcPr>
            <w:tcW w:w="1002"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19.</w:t>
            </w:r>
          </w:p>
        </w:tc>
        <w:tc>
          <w:tcPr>
            <w:tcW w:w="898" w:type="dxa"/>
            <w:tcBorders>
              <w:top w:val="single" w:sz="8" w:space="0" w:color="31849B" w:themeColor="accent5" w:themeShade="BF"/>
              <w:bottom w:val="single" w:sz="8" w:space="0" w:color="31849B" w:themeColor="accent5" w:themeShade="BF"/>
            </w:tcBorders>
            <w:shd w:val="clear" w:color="auto" w:fill="auto"/>
            <w:textDirection w:val="btLr"/>
            <w:vAlign w:val="center"/>
          </w:tcPr>
          <w:p w:rsidR="00961EEC" w:rsidRPr="00561367" w:rsidRDefault="00961EEC" w:rsidP="00CD3004">
            <w:pPr>
              <w:widowControl w:val="0"/>
              <w:spacing w:line="285" w:lineRule="auto"/>
              <w:jc w:val="center"/>
              <w:rPr>
                <w:rFonts w:asciiTheme="minorHAnsi" w:hAnsiTheme="minorHAnsi"/>
                <w:b/>
                <w:bCs/>
                <w:sz w:val="20"/>
                <w:szCs w:val="20"/>
              </w:rPr>
            </w:pPr>
            <w:proofErr w:type="spellStart"/>
            <w:r w:rsidRPr="00561367">
              <w:rPr>
                <w:rFonts w:asciiTheme="minorHAnsi" w:hAnsiTheme="minorHAnsi"/>
                <w:b/>
                <w:bCs/>
                <w:sz w:val="20"/>
                <w:szCs w:val="20"/>
              </w:rPr>
              <w:t>pākš-</w:t>
            </w:r>
            <w:proofErr w:type="spellEnd"/>
          </w:p>
          <w:p w:rsidR="00961EEC" w:rsidRPr="00561367" w:rsidRDefault="00961EEC" w:rsidP="00CD3004">
            <w:pPr>
              <w:widowControl w:val="0"/>
              <w:spacing w:line="285" w:lineRule="auto"/>
              <w:jc w:val="center"/>
              <w:rPr>
                <w:rFonts w:asciiTheme="minorHAnsi" w:hAnsiTheme="minorHAnsi"/>
                <w:b/>
                <w:bCs/>
                <w:sz w:val="20"/>
                <w:szCs w:val="20"/>
              </w:rPr>
            </w:pPr>
            <w:r w:rsidRPr="00561367">
              <w:rPr>
                <w:rFonts w:asciiTheme="minorHAnsi" w:hAnsiTheme="minorHAnsi"/>
                <w:b/>
                <w:bCs/>
                <w:sz w:val="20"/>
                <w:szCs w:val="20"/>
              </w:rPr>
              <w:t>augi</w:t>
            </w:r>
          </w:p>
        </w:tc>
        <w:tc>
          <w:tcPr>
            <w:tcW w:w="2845"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rPr>
                <w:rFonts w:asciiTheme="minorHAnsi" w:hAnsiTheme="minorHAnsi"/>
                <w:sz w:val="20"/>
                <w:szCs w:val="20"/>
              </w:rPr>
            </w:pPr>
            <w:r w:rsidRPr="00561367">
              <w:rPr>
                <w:rFonts w:asciiTheme="minorHAnsi" w:hAnsiTheme="minorHAnsi"/>
                <w:sz w:val="20"/>
                <w:szCs w:val="20"/>
              </w:rPr>
              <w:t>sējas zirņi</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144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r>
      <w:tr w:rsidR="00961EEC" w:rsidRPr="00561367" w:rsidTr="00CD3004">
        <w:trPr>
          <w:trHeight w:val="315"/>
        </w:trPr>
        <w:tc>
          <w:tcPr>
            <w:tcW w:w="4745" w:type="dxa"/>
            <w:gridSpan w:val="3"/>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KOPĀ:</w:t>
            </w:r>
          </w:p>
        </w:tc>
        <w:tc>
          <w:tcPr>
            <w:tcW w:w="1260" w:type="dxa"/>
            <w:tcBorders>
              <w:top w:val="single" w:sz="8" w:space="0" w:color="31849B" w:themeColor="accent5" w:themeShade="BF"/>
              <w:bottom w:val="single" w:sz="8" w:space="0" w:color="31849B" w:themeColor="accent5" w:themeShade="BF"/>
            </w:tcBorders>
            <w:shd w:val="clear" w:color="auto" w:fill="auto"/>
            <w:noWrap/>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89</w:t>
            </w:r>
          </w:p>
        </w:tc>
        <w:tc>
          <w:tcPr>
            <w:tcW w:w="1440" w:type="dxa"/>
            <w:tcBorders>
              <w:top w:val="single" w:sz="8" w:space="0" w:color="31849B" w:themeColor="accent5" w:themeShade="BF"/>
              <w:bottom w:val="single" w:sz="8" w:space="0" w:color="31849B" w:themeColor="accent5" w:themeShade="BF"/>
            </w:tcBorders>
            <w:vAlign w:val="center"/>
          </w:tcPr>
          <w:p w:rsidR="00961EEC" w:rsidRPr="00561367" w:rsidRDefault="00961EEC" w:rsidP="00CD3004">
            <w:pPr>
              <w:widowControl w:val="0"/>
              <w:spacing w:line="285" w:lineRule="auto"/>
              <w:jc w:val="center"/>
              <w:rPr>
                <w:rFonts w:asciiTheme="minorHAnsi" w:hAnsiTheme="minorHAnsi"/>
                <w:b/>
                <w:sz w:val="20"/>
                <w:szCs w:val="20"/>
              </w:rPr>
            </w:pPr>
            <w:r w:rsidRPr="00561367">
              <w:rPr>
                <w:rFonts w:asciiTheme="minorHAnsi" w:hAnsiTheme="minorHAnsi"/>
                <w:b/>
                <w:sz w:val="20"/>
                <w:szCs w:val="20"/>
              </w:rPr>
              <w:t>489</w:t>
            </w:r>
          </w:p>
        </w:tc>
      </w:tr>
    </w:tbl>
    <w:p w:rsidR="00961EEC" w:rsidRPr="001E736D" w:rsidRDefault="00961EEC" w:rsidP="00961EEC"/>
    <w:p w:rsidR="00561367" w:rsidRDefault="00561367" w:rsidP="00561367">
      <w:pPr>
        <w:widowControl w:val="0"/>
        <w:jc w:val="both"/>
        <w:rPr>
          <w:rFonts w:asciiTheme="minorHAnsi" w:hAnsiTheme="minorHAnsi"/>
        </w:rPr>
      </w:pPr>
    </w:p>
    <w:p w:rsidR="00961EEC" w:rsidRPr="00CD3004" w:rsidRDefault="00961EEC" w:rsidP="00561367">
      <w:pPr>
        <w:widowControl w:val="0"/>
        <w:jc w:val="both"/>
        <w:rPr>
          <w:rFonts w:asciiTheme="minorHAnsi" w:hAnsiTheme="minorHAnsi"/>
        </w:rPr>
      </w:pPr>
      <w:r w:rsidRPr="00CD3004">
        <w:rPr>
          <w:rFonts w:asciiTheme="minorHAnsi" w:hAnsiTheme="minorHAnsi"/>
        </w:rPr>
        <w:t>Rezultāti:</w:t>
      </w:r>
    </w:p>
    <w:p w:rsidR="00961EEC" w:rsidRPr="00CD3004" w:rsidRDefault="00961EEC" w:rsidP="00561367">
      <w:pPr>
        <w:widowControl w:val="0"/>
        <w:jc w:val="both"/>
        <w:rPr>
          <w:rFonts w:asciiTheme="minorHAnsi" w:hAnsiTheme="minorHAnsi"/>
        </w:rPr>
      </w:pPr>
      <w:r w:rsidRPr="00CD3004">
        <w:rPr>
          <w:rFonts w:asciiTheme="minorHAnsi" w:hAnsiTheme="minorHAnsi"/>
        </w:rPr>
        <w:t>Labībām šķirnes identitāte atbilda visām sēklu partijām. Šķirnes tīrības prasībām neatbilda 11 sēklu partijas, kas sastāda 2,9% no pārbaudītā labību sēklu partiju skaita, t.sk.</w:t>
      </w:r>
    </w:p>
    <w:p w:rsidR="00961EEC" w:rsidRPr="00CD3004" w:rsidRDefault="00961EEC" w:rsidP="00561367">
      <w:pPr>
        <w:pStyle w:val="ListParagraph"/>
        <w:widowControl w:val="0"/>
        <w:numPr>
          <w:ilvl w:val="0"/>
          <w:numId w:val="18"/>
        </w:numPr>
        <w:jc w:val="both"/>
        <w:rPr>
          <w:rFonts w:asciiTheme="minorHAnsi" w:hAnsiTheme="minorHAnsi"/>
        </w:rPr>
      </w:pPr>
      <w:r w:rsidRPr="00CD3004">
        <w:rPr>
          <w:rFonts w:asciiTheme="minorHAnsi" w:hAnsiTheme="minorHAnsi"/>
        </w:rPr>
        <w:t>visas vasarāju labību sēklu partijas atbilda šķirnes tīrības prasībām;</w:t>
      </w:r>
    </w:p>
    <w:p w:rsidR="00961EEC" w:rsidRPr="00CD3004" w:rsidRDefault="00961EEC" w:rsidP="00561367">
      <w:pPr>
        <w:pStyle w:val="ListParagraph"/>
        <w:widowControl w:val="0"/>
        <w:numPr>
          <w:ilvl w:val="0"/>
          <w:numId w:val="18"/>
        </w:numPr>
        <w:jc w:val="both"/>
        <w:rPr>
          <w:rFonts w:asciiTheme="minorHAnsi" w:hAnsiTheme="minorHAnsi"/>
        </w:rPr>
      </w:pPr>
      <w:r w:rsidRPr="00CD3004">
        <w:rPr>
          <w:rFonts w:asciiTheme="minorHAnsi" w:hAnsiTheme="minorHAnsi"/>
        </w:rPr>
        <w:t>ziemāju labībām šķirnes tīrības prasībām neatbilda 11 sēklu partijas jeb 5,6 % no ziemāju labības sēklu partiju skaita.</w:t>
      </w:r>
    </w:p>
    <w:p w:rsidR="00961EEC" w:rsidRPr="00CD3004" w:rsidRDefault="00961EEC" w:rsidP="00561367">
      <w:pPr>
        <w:widowControl w:val="0"/>
        <w:jc w:val="both"/>
        <w:rPr>
          <w:rFonts w:asciiTheme="minorHAnsi" w:hAnsiTheme="minorHAnsi"/>
        </w:rPr>
      </w:pPr>
      <w:r w:rsidRPr="00CD3004">
        <w:rPr>
          <w:rFonts w:asciiTheme="minorHAnsi" w:hAnsiTheme="minorHAnsi"/>
        </w:rPr>
        <w:t>Pārējām sugām visas sēklu partijas atbilda šķirnes identitātei un šķirnes tīrības prasībām.</w:t>
      </w:r>
    </w:p>
    <w:p w:rsidR="00961EEC" w:rsidRDefault="00961EEC" w:rsidP="00961EEC">
      <w:pPr>
        <w:rPr>
          <w:i/>
          <w:highlight w:val="green"/>
        </w:rPr>
      </w:pPr>
    </w:p>
    <w:p w:rsidR="00561367" w:rsidRDefault="00561367" w:rsidP="00961EEC">
      <w:pPr>
        <w:rPr>
          <w:i/>
          <w:highlight w:val="green"/>
        </w:rPr>
      </w:pPr>
    </w:p>
    <w:p w:rsidR="00961EEC" w:rsidRPr="00CD3004" w:rsidRDefault="00961EEC" w:rsidP="00561367">
      <w:pPr>
        <w:rPr>
          <w:rFonts w:asciiTheme="minorHAnsi" w:hAnsiTheme="minorHAnsi"/>
          <w:b/>
        </w:rPr>
      </w:pPr>
      <w:r w:rsidRPr="00CD3004">
        <w:rPr>
          <w:rFonts w:asciiTheme="minorHAnsi" w:hAnsiTheme="minorHAnsi"/>
          <w:b/>
        </w:rPr>
        <w:t xml:space="preserve">Sēklu partiju </w:t>
      </w:r>
      <w:proofErr w:type="spellStart"/>
      <w:r w:rsidRPr="00CD3004">
        <w:rPr>
          <w:rFonts w:asciiTheme="minorHAnsi" w:hAnsiTheme="minorHAnsi"/>
          <w:b/>
        </w:rPr>
        <w:t>etiķetēšana</w:t>
      </w:r>
      <w:proofErr w:type="spellEnd"/>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2012.gadā etiķetes izsniegtas 798 sēklu partijām. Kopā izsniegtas 75832 etiķetes, no tām 27599 ir kartupeļiem, 24125 - lopbarības augiem un labībām -24108 gab.</w:t>
      </w:r>
    </w:p>
    <w:p w:rsidR="00961EEC" w:rsidRPr="00CD3004" w:rsidRDefault="00961EEC" w:rsidP="00CD3004">
      <w:pPr>
        <w:widowControl w:val="0"/>
        <w:tabs>
          <w:tab w:val="center" w:pos="4559"/>
        </w:tabs>
        <w:spacing w:before="120"/>
        <w:rPr>
          <w:rFonts w:asciiTheme="minorHAnsi" w:hAnsiTheme="minorHAnsi"/>
          <w:i/>
          <w:color w:val="943634" w:themeColor="accent2" w:themeShade="BF"/>
        </w:rPr>
      </w:pPr>
      <w:r w:rsidRPr="00CD3004">
        <w:rPr>
          <w:rFonts w:asciiTheme="minorHAnsi" w:hAnsiTheme="minorHAnsi"/>
          <w:i/>
          <w:color w:val="943634" w:themeColor="accent2" w:themeShade="BF"/>
        </w:rPr>
        <w:t xml:space="preserve">Etiķešu skaita sadalījums pa kultūraugu grupām, </w:t>
      </w:r>
      <w:proofErr w:type="spellStart"/>
      <w:r w:rsidRPr="00CD3004">
        <w:rPr>
          <w:rFonts w:asciiTheme="minorHAnsi" w:hAnsiTheme="minorHAnsi"/>
          <w:i/>
          <w:color w:val="943634" w:themeColor="accent2" w:themeShade="BF"/>
        </w:rPr>
        <w:t>gab</w:t>
      </w:r>
      <w:proofErr w:type="spellEnd"/>
    </w:p>
    <w:p w:rsidR="00961EEC" w:rsidRDefault="00961EEC" w:rsidP="00CD3004">
      <w:r>
        <w:rPr>
          <w:noProof/>
        </w:rPr>
        <w:drawing>
          <wp:inline distT="0" distB="0" distL="0" distR="0" wp14:anchorId="26C695FA" wp14:editId="2B745D48">
            <wp:extent cx="4728845" cy="2325370"/>
            <wp:effectExtent l="0" t="0" r="0" b="0"/>
            <wp:docPr id="15"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 xml:space="preserve">Analizējot sertificēto sēklu etiķešu izlietojumu pa kultūraugu grupām redzam, ka 2010. gadā būtiski samazinās izsniegto etiķešu daudzums visām sugām. Sākot ar 2011. gadu vērojams izsniegto etiķešu skaita pieaugums (labību sēklu partijām gandrīz trīs reizes vairāk, lopbarības augiem divas reizes vairāk un kartupeļiem par pusi vairāk), kas turpinās arī 2012.gadā. Labību </w:t>
      </w:r>
      <w:r w:rsidRPr="00CD3004">
        <w:rPr>
          <w:rFonts w:asciiTheme="minorHAnsi" w:hAnsiTheme="minorHAnsi"/>
        </w:rPr>
        <w:lastRenderedPageBreak/>
        <w:t>sēklu partijām izsniegto etiķešu daudzums salīdzinājumā ar pagājušo gadu ir palielinājies par 22%, kartupeļiem par 21% un lopbarības augiem par 1% . Saimniecības daudz vairāk izmanto BIG maisus.</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 gadā pēc skaita visvairāk etiķetes izsniegtas kartupeļiem (36%), bet lopbarības augiem un labībām līdzīgā apjomā (32%).</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2012.gadā pirmo reizi izsniegtas OECD (Starptautiskās Ekonomiskās sadarbības un attīstības organizācijas) etiķetes lopbarības augu sēklu partijai, kas paredzēta eksportam ārpus Eiropas Savienības.</w:t>
      </w:r>
    </w:p>
    <w:p w:rsidR="00961EEC" w:rsidRPr="00CD3004" w:rsidRDefault="00961EEC" w:rsidP="00CD3004">
      <w:pPr>
        <w:widowControl w:val="0"/>
        <w:tabs>
          <w:tab w:val="center" w:pos="4559"/>
        </w:tabs>
        <w:spacing w:before="120"/>
        <w:rPr>
          <w:rFonts w:asciiTheme="minorHAnsi" w:hAnsiTheme="minorHAnsi"/>
          <w:i/>
          <w:color w:val="943634" w:themeColor="accent2" w:themeShade="BF"/>
        </w:rPr>
      </w:pPr>
      <w:r w:rsidRPr="00CD3004">
        <w:rPr>
          <w:rFonts w:asciiTheme="minorHAnsi" w:hAnsiTheme="minorHAnsi"/>
          <w:i/>
          <w:color w:val="943634" w:themeColor="accent2" w:themeShade="BF"/>
        </w:rPr>
        <w:t>Etiķešu izlietojums pa kultūraugu grupām, gab.</w:t>
      </w:r>
    </w:p>
    <w:p w:rsidR="00961EEC" w:rsidRDefault="00961EEC" w:rsidP="00CD3004">
      <w:r>
        <w:rPr>
          <w:noProof/>
        </w:rPr>
        <w:drawing>
          <wp:inline distT="0" distB="0" distL="0" distR="0" wp14:anchorId="2A2B553F" wp14:editId="5B720D4E">
            <wp:extent cx="4227968" cy="2009869"/>
            <wp:effectExtent l="0" t="0" r="127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61EEC" w:rsidRPr="00CD3004" w:rsidRDefault="00961EEC" w:rsidP="00CD3004">
      <w:pPr>
        <w:widowControl w:val="0"/>
        <w:spacing w:before="120"/>
        <w:jc w:val="both"/>
        <w:rPr>
          <w:rFonts w:asciiTheme="minorHAnsi" w:hAnsiTheme="minorHAnsi"/>
          <w:b/>
        </w:rPr>
      </w:pPr>
      <w:r w:rsidRPr="00CD3004">
        <w:rPr>
          <w:rFonts w:asciiTheme="minorHAnsi" w:hAnsiTheme="minorHAnsi"/>
          <w:b/>
        </w:rPr>
        <w:t>Sēklu kontroles laboratorijās veiktās analīzes</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2012.gadā sēklu kvalitāti bija plānots pārbaudīt 4300 sēklu paraugiem, tai skaitā 1700 paraugiem NSKL. Pārbaudīti ir 5684 paraugi, no tiem NSKL pārbaudīti ir 2608 paraugi, kas par 53 % pārsniedz plānoto apjomu. Reģionos visvairāk pārbaudīti paraugi ir Saldus laboratorijā – 1264 paraugi jeb 22 % no kopējā paraugu skaita. Salīdzinot ar 2011.gadu, kopējais paraugu skaits palielinājies par 359 paraugiem.</w:t>
      </w:r>
    </w:p>
    <w:p w:rsidR="00961EEC" w:rsidRPr="00CD3004" w:rsidRDefault="00961EEC" w:rsidP="00CD3004">
      <w:pPr>
        <w:widowControl w:val="0"/>
        <w:spacing w:before="120"/>
        <w:jc w:val="both"/>
        <w:rPr>
          <w:rFonts w:asciiTheme="minorHAnsi" w:hAnsiTheme="minorHAnsi"/>
        </w:rPr>
      </w:pPr>
      <w:r w:rsidRPr="00CD3004">
        <w:rPr>
          <w:rFonts w:asciiTheme="minorHAnsi" w:hAnsiTheme="minorHAnsi"/>
        </w:rPr>
        <w:t>Sēklu sertifikācijai iesniegto paraugu skaits 2012.gadā ir 1065 paraugi. Visvairāk uz sertifikāciju ir iesniegti labību un stiebrzāļu sēklu paraugi.</w:t>
      </w:r>
    </w:p>
    <w:p w:rsidR="000556F7" w:rsidRPr="00CD3004" w:rsidRDefault="000556F7" w:rsidP="000556F7">
      <w:pPr>
        <w:widowControl w:val="0"/>
        <w:tabs>
          <w:tab w:val="center" w:pos="4559"/>
        </w:tabs>
        <w:spacing w:before="120"/>
        <w:rPr>
          <w:rFonts w:asciiTheme="minorHAnsi" w:hAnsiTheme="minorHAnsi"/>
          <w:i/>
          <w:color w:val="943634" w:themeColor="accent2" w:themeShade="BF"/>
        </w:rPr>
      </w:pPr>
      <w:r>
        <w:rPr>
          <w:rFonts w:asciiTheme="minorHAnsi" w:hAnsiTheme="minorHAnsi"/>
          <w:i/>
          <w:color w:val="943634" w:themeColor="accent2" w:themeShade="BF"/>
        </w:rPr>
        <w:t>Sertifikācijai iesniegto paraugu sadalījums pa sugu grupām</w:t>
      </w:r>
    </w:p>
    <w:p w:rsidR="00961EEC" w:rsidRPr="005B6964" w:rsidRDefault="00961EEC" w:rsidP="000556F7">
      <w:pPr>
        <w:pStyle w:val="Teksts"/>
        <w:spacing w:line="240" w:lineRule="auto"/>
        <w:ind w:firstLine="0"/>
        <w:jc w:val="left"/>
      </w:pPr>
      <w:r>
        <w:rPr>
          <w:noProof/>
        </w:rPr>
        <w:drawing>
          <wp:inline distT="0" distB="0" distL="0" distR="0" wp14:anchorId="417544C0" wp14:editId="4ADB444E">
            <wp:extent cx="3289385" cy="1552639"/>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2">
                      <a:duotone>
                        <a:schemeClr val="accent3">
                          <a:shade val="45000"/>
                          <a:satMod val="135000"/>
                        </a:schemeClr>
                        <a:prstClr val="white"/>
                      </a:duotone>
                      <a:extLst>
                        <a:ext uri="{28A0092B-C50C-407E-A947-70E740481C1C}">
                          <a14:useLocalDpi xmlns:a14="http://schemas.microsoft.com/office/drawing/2010/main" val="0"/>
                        </a:ext>
                      </a:extLst>
                    </a:blip>
                    <a:srcRect l="13722" t="25588" r="1736" b="8352"/>
                    <a:stretch/>
                  </pic:blipFill>
                  <pic:spPr bwMode="auto">
                    <a:xfrm>
                      <a:off x="0" y="0"/>
                      <a:ext cx="3290862" cy="1553336"/>
                    </a:xfrm>
                    <a:prstGeom prst="rect">
                      <a:avLst/>
                    </a:prstGeom>
                    <a:noFill/>
                    <a:ln>
                      <a:noFill/>
                    </a:ln>
                    <a:extLst>
                      <a:ext uri="{53640926-AAD7-44D8-BBD7-CCE9431645EC}">
                        <a14:shadowObscured xmlns:a14="http://schemas.microsoft.com/office/drawing/2010/main"/>
                      </a:ext>
                    </a:extLst>
                  </pic:spPr>
                </pic:pic>
              </a:graphicData>
            </a:graphic>
          </wp:inline>
        </w:drawing>
      </w:r>
    </w:p>
    <w:p w:rsidR="00961EEC" w:rsidRPr="00561367" w:rsidRDefault="00961EEC" w:rsidP="000556F7">
      <w:pPr>
        <w:widowControl w:val="0"/>
        <w:spacing w:before="120"/>
        <w:jc w:val="both"/>
        <w:rPr>
          <w:rFonts w:asciiTheme="minorHAnsi" w:hAnsiTheme="minorHAnsi"/>
          <w:sz w:val="4"/>
          <w:szCs w:val="4"/>
        </w:rPr>
      </w:pPr>
    </w:p>
    <w:p w:rsidR="00961EEC" w:rsidRDefault="00961EEC" w:rsidP="000556F7">
      <w:pPr>
        <w:widowControl w:val="0"/>
        <w:spacing w:before="120"/>
        <w:jc w:val="both"/>
        <w:rPr>
          <w:rFonts w:asciiTheme="minorHAnsi" w:hAnsiTheme="minorHAnsi"/>
        </w:rPr>
      </w:pPr>
      <w:r w:rsidRPr="000556F7">
        <w:rPr>
          <w:rFonts w:asciiTheme="minorHAnsi" w:hAnsiTheme="minorHAnsi"/>
        </w:rPr>
        <w:t>Pārskata gadā sēklu kontroles laboratorijās kopā veiktas vairāk kā 17 tūkstoši dažādas sēklu kvalitātes noteikšanas analīzes:</w:t>
      </w:r>
    </w:p>
    <w:p w:rsidR="000556F7" w:rsidRPr="000556F7" w:rsidRDefault="000556F7" w:rsidP="000556F7">
      <w:pPr>
        <w:widowControl w:val="0"/>
        <w:tabs>
          <w:tab w:val="center" w:pos="4559"/>
        </w:tabs>
        <w:spacing w:before="120"/>
        <w:rPr>
          <w:rFonts w:asciiTheme="minorHAnsi" w:hAnsiTheme="minorHAnsi"/>
          <w:i/>
          <w:color w:val="943634" w:themeColor="accent2" w:themeShade="BF"/>
        </w:rPr>
      </w:pPr>
      <w:r w:rsidRPr="000556F7">
        <w:rPr>
          <w:rFonts w:asciiTheme="minorHAnsi" w:hAnsiTheme="minorHAnsi"/>
          <w:i/>
          <w:color w:val="943634" w:themeColor="accent2" w:themeShade="BF"/>
        </w:rPr>
        <w:t>Sēklu kvalitātes noteikšanas analīzes</w:t>
      </w:r>
    </w:p>
    <w:p w:rsidR="00961EEC" w:rsidRDefault="00961EEC" w:rsidP="00961EEC">
      <w:pPr>
        <w:pStyle w:val="Teksts"/>
        <w:spacing w:line="240" w:lineRule="auto"/>
      </w:pPr>
    </w:p>
    <w:p w:rsidR="00961EEC" w:rsidRPr="00D959F9" w:rsidRDefault="00961EEC" w:rsidP="000556F7">
      <w:pPr>
        <w:pStyle w:val="Teksts"/>
        <w:spacing w:line="240" w:lineRule="auto"/>
        <w:ind w:firstLine="0"/>
        <w:jc w:val="left"/>
      </w:pPr>
      <w:r>
        <w:rPr>
          <w:noProof/>
        </w:rPr>
        <w:lastRenderedPageBreak/>
        <w:drawing>
          <wp:inline distT="0" distB="0" distL="0" distR="0" wp14:anchorId="58D833E9" wp14:editId="794C47BC">
            <wp:extent cx="4074909" cy="2448628"/>
            <wp:effectExtent l="0" t="0" r="190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
                      <a:duotone>
                        <a:schemeClr val="accent3">
                          <a:shade val="45000"/>
                          <a:satMod val="135000"/>
                        </a:schemeClr>
                        <a:prstClr val="white"/>
                      </a:duotone>
                      <a:extLst>
                        <a:ext uri="{28A0092B-C50C-407E-A947-70E740481C1C}">
                          <a14:useLocalDpi xmlns:a14="http://schemas.microsoft.com/office/drawing/2010/main" val="0"/>
                        </a:ext>
                      </a:extLst>
                    </a:blip>
                    <a:srcRect l="1884" t="11462" r="1884" b="14775"/>
                    <a:stretch/>
                  </pic:blipFill>
                  <pic:spPr bwMode="auto">
                    <a:xfrm>
                      <a:off x="0" y="0"/>
                      <a:ext cx="4072797" cy="2447359"/>
                    </a:xfrm>
                    <a:prstGeom prst="rect">
                      <a:avLst/>
                    </a:prstGeom>
                    <a:noFill/>
                    <a:ln>
                      <a:noFill/>
                    </a:ln>
                    <a:extLst>
                      <a:ext uri="{53640926-AAD7-44D8-BBD7-CCE9431645EC}">
                        <a14:shadowObscured xmlns:a14="http://schemas.microsoft.com/office/drawing/2010/main"/>
                      </a:ext>
                    </a:extLst>
                  </pic:spPr>
                </pic:pic>
              </a:graphicData>
            </a:graphic>
          </wp:inline>
        </w:drawing>
      </w:r>
    </w:p>
    <w:p w:rsidR="00961EEC" w:rsidRPr="00561367" w:rsidRDefault="00961EEC" w:rsidP="00961EEC">
      <w:pPr>
        <w:pStyle w:val="Teksts"/>
        <w:spacing w:line="240" w:lineRule="auto"/>
        <w:rPr>
          <w:sz w:val="4"/>
          <w:szCs w:val="4"/>
        </w:rPr>
      </w:pP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 xml:space="preserve">2012.gadā 50% no NSKL pārbaudītajiem paraugiem ir iesūtījušas divas sēklu kompānijas no Dānijas – A/S DLF </w:t>
      </w:r>
      <w:proofErr w:type="spellStart"/>
      <w:r w:rsidRPr="000556F7">
        <w:rPr>
          <w:rFonts w:asciiTheme="minorHAnsi" w:hAnsiTheme="minorHAnsi"/>
        </w:rPr>
        <w:t>Trifolium</w:t>
      </w:r>
      <w:proofErr w:type="spellEnd"/>
      <w:r w:rsidRPr="000556F7">
        <w:rPr>
          <w:rFonts w:asciiTheme="minorHAnsi" w:hAnsiTheme="minorHAnsi"/>
        </w:rPr>
        <w:t xml:space="preserve"> un A/S </w:t>
      </w:r>
      <w:proofErr w:type="spellStart"/>
      <w:r w:rsidRPr="000556F7">
        <w:rPr>
          <w:rFonts w:asciiTheme="minorHAnsi" w:hAnsiTheme="minorHAnsi"/>
        </w:rPr>
        <w:t>Vikima</w:t>
      </w:r>
      <w:proofErr w:type="spellEnd"/>
      <w:r w:rsidRPr="000556F7">
        <w:rPr>
          <w:rFonts w:asciiTheme="minorHAnsi" w:hAnsiTheme="minorHAnsi"/>
        </w:rPr>
        <w:t xml:space="preserve"> </w:t>
      </w:r>
      <w:proofErr w:type="spellStart"/>
      <w:r w:rsidRPr="000556F7">
        <w:rPr>
          <w:rFonts w:asciiTheme="minorHAnsi" w:hAnsiTheme="minorHAnsi"/>
        </w:rPr>
        <w:t>Seed</w:t>
      </w:r>
      <w:proofErr w:type="spellEnd"/>
      <w:r w:rsidRPr="000556F7">
        <w:rPr>
          <w:rFonts w:asciiTheme="minorHAnsi" w:hAnsiTheme="minorHAnsi"/>
        </w:rPr>
        <w:t xml:space="preserve">. Pārskata gadā no </w:t>
      </w:r>
      <w:proofErr w:type="spellStart"/>
      <w:r w:rsidRPr="000556F7">
        <w:rPr>
          <w:rFonts w:asciiTheme="minorHAnsi" w:hAnsiTheme="minorHAnsi"/>
        </w:rPr>
        <w:t>Vikima</w:t>
      </w:r>
      <w:proofErr w:type="spellEnd"/>
      <w:r w:rsidRPr="000556F7">
        <w:rPr>
          <w:rFonts w:asciiTheme="minorHAnsi" w:hAnsiTheme="minorHAnsi"/>
        </w:rPr>
        <w:t xml:space="preserve"> </w:t>
      </w:r>
      <w:proofErr w:type="spellStart"/>
      <w:r w:rsidRPr="000556F7">
        <w:rPr>
          <w:rFonts w:asciiTheme="minorHAnsi" w:hAnsiTheme="minorHAnsi"/>
        </w:rPr>
        <w:t>Seed</w:t>
      </w:r>
      <w:proofErr w:type="spellEnd"/>
      <w:r w:rsidRPr="000556F7">
        <w:rPr>
          <w:rFonts w:asciiTheme="minorHAnsi" w:hAnsiTheme="minorHAnsi"/>
        </w:rPr>
        <w:t xml:space="preserve"> ir saņemti 40 dažādu dārzeņu sugu 465 paraugi galvenokārt uz dīgtspējas analīzēm. DLF </w:t>
      </w:r>
      <w:proofErr w:type="spellStart"/>
      <w:r w:rsidRPr="000556F7">
        <w:rPr>
          <w:rFonts w:asciiTheme="minorHAnsi" w:hAnsiTheme="minorHAnsi"/>
        </w:rPr>
        <w:t>Trifolium</w:t>
      </w:r>
      <w:proofErr w:type="spellEnd"/>
      <w:r w:rsidRPr="000556F7">
        <w:rPr>
          <w:rFonts w:asciiTheme="minorHAnsi" w:hAnsiTheme="minorHAnsi"/>
        </w:rPr>
        <w:t xml:space="preserve"> iesūtītie paraugi pārsvarā ir stiebrzālēm uz pilnas tīrības un dīgtspējas analīzēm. No šiem paraugiem lielāko daļu sastāda sarkanās auzenes (</w:t>
      </w:r>
      <w:proofErr w:type="spellStart"/>
      <w:r w:rsidRPr="000556F7">
        <w:rPr>
          <w:rFonts w:asciiTheme="minorHAnsi" w:hAnsiTheme="minorHAnsi"/>
        </w:rPr>
        <w:t>Festuca</w:t>
      </w:r>
      <w:proofErr w:type="spellEnd"/>
      <w:r w:rsidRPr="000556F7">
        <w:rPr>
          <w:rFonts w:asciiTheme="minorHAnsi" w:hAnsiTheme="minorHAnsi"/>
        </w:rPr>
        <w:t xml:space="preserve"> </w:t>
      </w:r>
      <w:proofErr w:type="spellStart"/>
      <w:r w:rsidRPr="000556F7">
        <w:rPr>
          <w:rFonts w:asciiTheme="minorHAnsi" w:hAnsiTheme="minorHAnsi"/>
        </w:rPr>
        <w:t>rubra</w:t>
      </w:r>
      <w:proofErr w:type="spellEnd"/>
      <w:r w:rsidRPr="000556F7">
        <w:rPr>
          <w:rFonts w:asciiTheme="minorHAnsi" w:hAnsiTheme="minorHAnsi"/>
        </w:rPr>
        <w:t>) – 20% un ganību airenes (</w:t>
      </w:r>
      <w:proofErr w:type="spellStart"/>
      <w:r w:rsidRPr="000556F7">
        <w:rPr>
          <w:rFonts w:asciiTheme="minorHAnsi" w:hAnsiTheme="minorHAnsi"/>
        </w:rPr>
        <w:t>Lolium</w:t>
      </w:r>
      <w:proofErr w:type="spellEnd"/>
      <w:r w:rsidRPr="000556F7">
        <w:rPr>
          <w:rFonts w:asciiTheme="minorHAnsi" w:hAnsiTheme="minorHAnsi"/>
        </w:rPr>
        <w:t xml:space="preserve"> </w:t>
      </w:r>
      <w:proofErr w:type="spellStart"/>
      <w:r w:rsidRPr="000556F7">
        <w:rPr>
          <w:rFonts w:asciiTheme="minorHAnsi" w:hAnsiTheme="minorHAnsi"/>
        </w:rPr>
        <w:t>perenne</w:t>
      </w:r>
      <w:proofErr w:type="spellEnd"/>
      <w:r w:rsidRPr="000556F7">
        <w:rPr>
          <w:rFonts w:asciiTheme="minorHAnsi" w:hAnsiTheme="minorHAnsi"/>
        </w:rPr>
        <w:t>) – 20% sēklu paraugi.</w:t>
      </w:r>
    </w:p>
    <w:p w:rsidR="00961EEC" w:rsidRPr="000556F7" w:rsidRDefault="00961EEC" w:rsidP="000556F7">
      <w:pPr>
        <w:widowControl w:val="0"/>
        <w:spacing w:before="120"/>
        <w:jc w:val="both"/>
        <w:rPr>
          <w:rFonts w:asciiTheme="minorHAnsi" w:hAnsiTheme="minorHAnsi"/>
          <w:b/>
        </w:rPr>
      </w:pPr>
      <w:r w:rsidRPr="000556F7">
        <w:rPr>
          <w:rFonts w:asciiTheme="minorHAnsi" w:hAnsiTheme="minorHAnsi"/>
          <w:b/>
        </w:rPr>
        <w:t>Pakalpojumi bioloģiskajai lauksaimniecībai</w:t>
      </w: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2012.gadā ir būtiski samazinājies bioloģiskas izcelsmes sēklas materiāla piedāvājums. Informāciju par pieejamo bioloģiskās lauksaimniecības sēklas, sēklas kartupeļu materiālu 2012.gadā Kultūraugu uzraudzības valsts informācijas sistēmas bioloģiskās lauksaimniecības šķirņu sēklu uzskaites datu bāzē ir iekļāvuši tikai trīs sēklaudzētāji, piedāvājot piecas bioloģiskas izcelsmes sēklu partijas. Kopumā 2012.gadā datu bāzē piedāvāts nedaudz vairāk par 10t ar bioloģiskajām ražošanas metodēm audzēts sēklas materiāls. Salīdzinot ar 2011.gadu bioloģiskas izcelsmes sēklas materiāla piedāvājums ir samazinājies par vairāk nekā 70%. Attiecīgi, ja 2011.gadā datu bāzē tikai piedāvāta nepilna desmitā daļa no indiv</w:t>
      </w:r>
      <w:smartTag w:uri="urn:schemas-microsoft-com:office:smarttags" w:element="PersonName">
        <w:r w:rsidRPr="000556F7">
          <w:rPr>
            <w:rFonts w:asciiTheme="minorHAnsi" w:hAnsiTheme="minorHAnsi"/>
          </w:rPr>
          <w:t>id</w:t>
        </w:r>
      </w:smartTag>
      <w:r w:rsidRPr="000556F7">
        <w:rPr>
          <w:rFonts w:asciiTheme="minorHAnsi" w:hAnsiTheme="minorHAnsi"/>
        </w:rPr>
        <w:t>uālajām atļaujām pieprasītā nepieciešamā bioloģiskas izcelsmes sēklas materiāla daudzuma, tad 2012.gadā tika piedāvāts vairs tikai 1% no nepieciešamā.</w:t>
      </w: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Pretēja situācija ir vērojama ar pieprasījumu atļaut izmantot konvencionālas izcelsmes sēklas materiālu bioloģiskajā lauksaimniecībā, kur pēdējos divus gadus strauji palielinājās izsniegto atļauju skaits. 2012.gadā tika izsniegtas 1099 individuālās atļaujas, attiecīgi 2011.gadā – 499 individuālās atļaujas, 2010.gadā – 269 individuālās atļaujas. Vislielākais pieprasījums ir pēc dažādiem lopbarības augu maisījumiem vai atsevišķām lopbarības augu sugām - puse no 2012.gadā izsniegtajām individuālajām atļaujām ir izsniegtas zālāju sēklu maisījumiem, atsevišķām lopbarības augu sugām - apmēram 25%, labību sugām – 16%, kartupeļiem - nepilni 4%.</w:t>
      </w: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 xml:space="preserve">Tāpat kā iepriekšējos gados arī 2012.gadā ar </w:t>
      </w:r>
      <w:r w:rsidR="004B6E67">
        <w:rPr>
          <w:rFonts w:asciiTheme="minorHAnsi" w:hAnsiTheme="minorHAnsi"/>
        </w:rPr>
        <w:t>VAAD</w:t>
      </w:r>
      <w:r w:rsidR="004B6E67" w:rsidRPr="000556F7">
        <w:rPr>
          <w:rFonts w:asciiTheme="minorHAnsi" w:hAnsiTheme="minorHAnsi"/>
        </w:rPr>
        <w:t xml:space="preserve"> </w:t>
      </w:r>
      <w:r w:rsidRPr="000556F7">
        <w:rPr>
          <w:rFonts w:asciiTheme="minorHAnsi" w:hAnsiTheme="minorHAnsi"/>
        </w:rPr>
        <w:t>lēmumu ir noteiks sugu saraksts, kurā minētajām sugām tiek piešķirta vispārēja atļauja izmatot konvencionālas izcelsmes sēklas materiālu bioloģiskajā lauksaimniecībā. 2012.gadā vispārējā atļauja tika piešķirta 90 sugām (un visām ārstniecības augu, dekoratīvo augu un garšaugu sugām), no kurām skaitliski lielākā daļa ir dārzeņu sugas, taču šajā sarakstā ir pārstāvētas arī gandrīz visas eļļas augu un šķiedraugu sugas.</w:t>
      </w:r>
    </w:p>
    <w:p w:rsidR="00961EEC" w:rsidRDefault="00961EEC" w:rsidP="00961EEC">
      <w:pPr>
        <w:jc w:val="center"/>
        <w:rPr>
          <w:b/>
        </w:rPr>
      </w:pPr>
    </w:p>
    <w:p w:rsidR="006732F0" w:rsidRDefault="006732F0" w:rsidP="00961EEC">
      <w:pPr>
        <w:jc w:val="center"/>
        <w:rPr>
          <w:b/>
        </w:rPr>
      </w:pPr>
    </w:p>
    <w:p w:rsidR="00961EEC" w:rsidRPr="000556F7" w:rsidRDefault="00961EEC" w:rsidP="000556F7">
      <w:pPr>
        <w:widowControl w:val="0"/>
        <w:spacing w:before="120"/>
        <w:jc w:val="both"/>
        <w:rPr>
          <w:rFonts w:asciiTheme="minorHAnsi" w:hAnsiTheme="minorHAnsi"/>
          <w:b/>
        </w:rPr>
      </w:pPr>
      <w:r w:rsidRPr="000556F7">
        <w:rPr>
          <w:rFonts w:asciiTheme="minorHAnsi" w:hAnsiTheme="minorHAnsi"/>
          <w:b/>
        </w:rPr>
        <w:lastRenderedPageBreak/>
        <w:t>GMO saturošo kultūraugu uzraudzības joma</w:t>
      </w: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 xml:space="preserve">2012.gadā turpinājās darbs pie ĢMO brīvo zonu kartes veidošanas. No novadu pašvaldībām tika saņemti trīs jauni iesniegumi. </w:t>
      </w:r>
      <w:r w:rsidR="004B6E67">
        <w:rPr>
          <w:rFonts w:asciiTheme="minorHAnsi" w:hAnsiTheme="minorHAnsi"/>
        </w:rPr>
        <w:t>VAAD</w:t>
      </w:r>
      <w:r w:rsidR="004B6E67" w:rsidRPr="000556F7">
        <w:rPr>
          <w:rFonts w:asciiTheme="minorHAnsi" w:hAnsiTheme="minorHAnsi"/>
        </w:rPr>
        <w:t xml:space="preserve"> </w:t>
      </w:r>
      <w:r w:rsidRPr="000556F7">
        <w:rPr>
          <w:rFonts w:asciiTheme="minorHAnsi" w:hAnsiTheme="minorHAnsi"/>
        </w:rPr>
        <w:t xml:space="preserve">mājaslapā novads kā ĢMO brīva zona tiek atzīmēts pēc pašvaldību saistošo noteikumu, ar kuriem tiek noteikts aizliegums novadā audzēt ģenētiski modificētos kultūraugus, spēkā stāšanās brīža. </w:t>
      </w:r>
      <w:r w:rsidR="004B6E67">
        <w:rPr>
          <w:rFonts w:asciiTheme="minorHAnsi" w:hAnsiTheme="minorHAnsi"/>
        </w:rPr>
        <w:t>VAAD</w:t>
      </w:r>
      <w:r w:rsidR="004B6E67" w:rsidRPr="000556F7">
        <w:rPr>
          <w:rFonts w:asciiTheme="minorHAnsi" w:hAnsiTheme="minorHAnsi"/>
        </w:rPr>
        <w:t xml:space="preserve"> </w:t>
      </w:r>
      <w:r w:rsidRPr="000556F7">
        <w:rPr>
          <w:rFonts w:asciiTheme="minorHAnsi" w:hAnsiTheme="minorHAnsi"/>
        </w:rPr>
        <w:t>sadarbojas ar pašvaldībām, lai precizētu saistošo noteikumu spēkā stāšanās brīdi un aizlieguma termiņu, jo daudzās pašvaldībās starp saistošo noteikumu pieņemšanas brīdi un spēkā stāšanās brīdi paiet vairāki mēneši. 2012.gada beigās 97 pašvaldības ir noteikušas aizliegumu ģenētiski modificēto kultūraugu audzēšanai. Līdz ar to 89% no Latvijas novadiem ir noteikts aizliegums audzēt ģenētiski modificētos kultūraugus.</w:t>
      </w:r>
    </w:p>
    <w:p w:rsidR="00961EEC" w:rsidRPr="00561367" w:rsidRDefault="00961EEC" w:rsidP="00961EEC">
      <w:pPr>
        <w:rPr>
          <w:i/>
          <w:sz w:val="4"/>
          <w:szCs w:val="4"/>
          <w:highlight w:val="green"/>
        </w:rPr>
      </w:pPr>
    </w:p>
    <w:p w:rsidR="00961EEC" w:rsidRPr="000556F7" w:rsidRDefault="00961EEC" w:rsidP="000556F7">
      <w:pPr>
        <w:widowControl w:val="0"/>
        <w:spacing w:before="120"/>
        <w:jc w:val="both"/>
        <w:rPr>
          <w:rFonts w:asciiTheme="minorHAnsi" w:hAnsiTheme="minorHAnsi"/>
          <w:b/>
        </w:rPr>
      </w:pPr>
      <w:r w:rsidRPr="000556F7">
        <w:rPr>
          <w:rFonts w:asciiTheme="minorHAnsi" w:hAnsiTheme="minorHAnsi"/>
          <w:b/>
        </w:rPr>
        <w:t>Selekcionāru tiesības un Latvijas augu šķirņu kataloga veidošana</w:t>
      </w:r>
    </w:p>
    <w:p w:rsidR="00961EEC" w:rsidRPr="000556F7" w:rsidRDefault="00961EEC" w:rsidP="000556F7">
      <w:pPr>
        <w:widowControl w:val="0"/>
        <w:spacing w:before="120"/>
        <w:jc w:val="both"/>
        <w:rPr>
          <w:rFonts w:asciiTheme="minorHAnsi" w:hAnsiTheme="minorHAnsi"/>
        </w:rPr>
      </w:pPr>
      <w:r w:rsidRPr="000556F7">
        <w:rPr>
          <w:rFonts w:asciiTheme="minorHAnsi" w:hAnsiTheme="minorHAnsi"/>
        </w:rPr>
        <w:t>Latvijas aizsargāto augu šķirņu skaits 2012.gada 31.decembr</w:t>
      </w:r>
      <w:r w:rsidR="000556F7">
        <w:rPr>
          <w:rFonts w:asciiTheme="minorHAnsi" w:hAnsiTheme="minorHAnsi"/>
        </w:rPr>
        <w:t>ī</w:t>
      </w:r>
      <w:r w:rsidRPr="000556F7">
        <w:rPr>
          <w:rFonts w:asciiTheme="minorHAnsi" w:hAnsiTheme="minorHAnsi"/>
        </w:rPr>
        <w:t xml:space="preserve"> valsts reģistrā bija 285 šķirnes, t</w:t>
      </w:r>
      <w:r w:rsidR="000556F7">
        <w:rPr>
          <w:rFonts w:asciiTheme="minorHAnsi" w:hAnsiTheme="minorHAnsi"/>
        </w:rPr>
        <w:t>.sk.</w:t>
      </w:r>
      <w:r w:rsidRPr="000556F7">
        <w:rPr>
          <w:rFonts w:asciiTheme="minorHAnsi" w:hAnsiTheme="minorHAnsi"/>
        </w:rPr>
        <w:t xml:space="preserve"> laukaugu – 132, augļkoku un ogulāju - 73, dekoratīvo augu</w:t>
      </w:r>
      <w:r w:rsidR="000556F7">
        <w:rPr>
          <w:rFonts w:asciiTheme="minorHAnsi" w:hAnsiTheme="minorHAnsi"/>
        </w:rPr>
        <w:t xml:space="preserve"> </w:t>
      </w:r>
      <w:r w:rsidRPr="000556F7">
        <w:rPr>
          <w:rFonts w:asciiTheme="minorHAnsi" w:hAnsiTheme="minorHAnsi"/>
        </w:rPr>
        <w:t>- 79, dārzeņi</w:t>
      </w:r>
      <w:r w:rsidR="000556F7">
        <w:rPr>
          <w:rFonts w:asciiTheme="minorHAnsi" w:hAnsiTheme="minorHAnsi"/>
        </w:rPr>
        <w:t xml:space="preserve"> </w:t>
      </w:r>
      <w:r w:rsidRPr="000556F7">
        <w:rPr>
          <w:rFonts w:asciiTheme="minorHAnsi" w:hAnsiTheme="minorHAnsi"/>
        </w:rPr>
        <w:t xml:space="preserve">-1. </w:t>
      </w:r>
    </w:p>
    <w:p w:rsidR="00961EEC" w:rsidRPr="000556F7" w:rsidRDefault="00961EEC" w:rsidP="000556F7">
      <w:pPr>
        <w:widowControl w:val="0"/>
        <w:tabs>
          <w:tab w:val="center" w:pos="4559"/>
        </w:tabs>
        <w:spacing w:before="120"/>
        <w:rPr>
          <w:rFonts w:asciiTheme="minorHAnsi" w:hAnsiTheme="minorHAnsi"/>
          <w:i/>
          <w:color w:val="943634" w:themeColor="accent2" w:themeShade="BF"/>
        </w:rPr>
      </w:pPr>
      <w:r w:rsidRPr="000556F7">
        <w:rPr>
          <w:rFonts w:asciiTheme="minorHAnsi" w:hAnsiTheme="minorHAnsi"/>
          <w:i/>
          <w:noProof/>
          <w:color w:val="943634" w:themeColor="accent2" w:themeShade="BF"/>
        </w:rPr>
        <w:drawing>
          <wp:anchor distT="0" distB="0" distL="114300" distR="114300" simplePos="0" relativeHeight="251724800" behindDoc="0" locked="0" layoutInCell="1" allowOverlap="1" wp14:anchorId="4E53BFFB" wp14:editId="7DF8E928">
            <wp:simplePos x="0" y="0"/>
            <wp:positionH relativeFrom="column">
              <wp:posOffset>-635</wp:posOffset>
            </wp:positionH>
            <wp:positionV relativeFrom="paragraph">
              <wp:posOffset>-6238875</wp:posOffset>
            </wp:positionV>
            <wp:extent cx="5829935" cy="1837690"/>
            <wp:effectExtent l="0" t="0" r="0" b="0"/>
            <wp:wrapSquare wrapText="right"/>
            <wp:docPr id="19" name="Char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r w:rsidRPr="000556F7">
        <w:rPr>
          <w:rFonts w:asciiTheme="minorHAnsi" w:hAnsiTheme="minorHAnsi"/>
          <w:i/>
          <w:color w:val="943634" w:themeColor="accent2" w:themeShade="BF"/>
        </w:rPr>
        <w:t>Latvijā aizsargāto augu šķirņu skaits</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226 šķirnes jeb 79,3% no reģistrā iekļautajām šķirnēm ir selekcionētas Latvijā, 15- Zviedrijā, 13- Vācijā, bet 11- Polijā.</w:t>
      </w:r>
    </w:p>
    <w:p w:rsidR="00961EEC" w:rsidRDefault="00961EEC" w:rsidP="00961EEC">
      <w:pPr>
        <w:ind w:firstLine="720"/>
        <w:jc w:val="both"/>
      </w:pPr>
    </w:p>
    <w:p w:rsidR="00961EEC" w:rsidRPr="009E615F" w:rsidRDefault="00961EEC" w:rsidP="009E615F">
      <w:pPr>
        <w:widowControl w:val="0"/>
        <w:tabs>
          <w:tab w:val="center" w:pos="4559"/>
        </w:tabs>
        <w:spacing w:before="120"/>
        <w:rPr>
          <w:rFonts w:asciiTheme="minorHAnsi" w:hAnsiTheme="minorHAnsi"/>
          <w:i/>
          <w:color w:val="943634" w:themeColor="accent2" w:themeShade="BF"/>
        </w:rPr>
      </w:pPr>
      <w:r w:rsidRPr="009E615F">
        <w:rPr>
          <w:rFonts w:asciiTheme="minorHAnsi" w:hAnsiTheme="minorHAnsi"/>
          <w:i/>
          <w:color w:val="943634" w:themeColor="accent2" w:themeShade="BF"/>
        </w:rPr>
        <w:t>Latvijā aizsargāto augu šķirņu sadalījums pēc valstīm, kurās tās selekcionētas</w:t>
      </w:r>
    </w:p>
    <w:p w:rsidR="00961EEC" w:rsidRPr="00B4384E" w:rsidRDefault="00961EEC" w:rsidP="00961EEC">
      <w:pPr>
        <w:jc w:val="both"/>
        <w:rPr>
          <w:lang w:eastAsia="en-US"/>
        </w:rPr>
      </w:pPr>
    </w:p>
    <w:p w:rsidR="00961EEC" w:rsidRPr="002B69CB" w:rsidRDefault="00961EEC" w:rsidP="00961EEC">
      <w:pPr>
        <w:jc w:val="center"/>
      </w:pPr>
      <w:r w:rsidRPr="009E615F">
        <w:rPr>
          <w:rFonts w:asciiTheme="minorHAnsi" w:hAnsiTheme="minorHAnsi"/>
          <w:noProof/>
        </w:rPr>
        <w:drawing>
          <wp:inline distT="0" distB="0" distL="0" distR="0" wp14:anchorId="51158FBA" wp14:editId="4337B780">
            <wp:extent cx="5355590" cy="2482215"/>
            <wp:effectExtent l="0" t="0" r="0" b="0"/>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61EEC" w:rsidRDefault="00961EEC" w:rsidP="00961EEC">
      <w:pPr>
        <w:ind w:firstLine="720"/>
        <w:jc w:val="both"/>
      </w:pP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Pārskata periodā selekcionāra tiesības piešķirtas 14 šķirnēm, visas selekcionētas Latvijā. Izsniegtas 14 selekcionāra tiesību piešķiršanas apliecības.</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Pirmo reizi trīs Latvijā selekcionētām šķirnēm piešķirta Kopienas augu šķirņu aizsardzība: ābeļu šķirnēm ‘Joko’, ‘Inese’ un ābeļu potcelmam ‘</w:t>
      </w:r>
      <w:proofErr w:type="spellStart"/>
      <w:r w:rsidRPr="009E615F">
        <w:rPr>
          <w:rFonts w:asciiTheme="minorHAnsi" w:hAnsiTheme="minorHAnsi"/>
        </w:rPr>
        <w:t>Pure</w:t>
      </w:r>
      <w:proofErr w:type="spellEnd"/>
      <w:r w:rsidRPr="009E615F">
        <w:rPr>
          <w:rFonts w:asciiTheme="minorHAnsi" w:hAnsiTheme="minorHAnsi"/>
        </w:rPr>
        <w:t xml:space="preserve"> 1’, pieteicējs SIA Pūres dārzkopības pētījumu centrs.</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Pieņemti, izvērtēti un reģistrēti septiņi </w:t>
      </w:r>
      <w:smartTag w:uri="schemas-tilde-lv/tildestengine" w:element="veidnes">
        <w:smartTagPr>
          <w:attr w:name="text" w:val="iesniegumi"/>
          <w:attr w:name="id" w:val="-1"/>
          <w:attr w:name="baseform" w:val="iesniegum|s"/>
        </w:smartTagPr>
        <w:r w:rsidRPr="009E615F">
          <w:rPr>
            <w:rFonts w:asciiTheme="minorHAnsi" w:hAnsiTheme="minorHAnsi"/>
          </w:rPr>
          <w:t>iesniegumi</w:t>
        </w:r>
      </w:smartTag>
      <w:r w:rsidRPr="009E615F">
        <w:rPr>
          <w:rFonts w:asciiTheme="minorHAnsi" w:hAnsiTheme="minorHAnsi"/>
        </w:rPr>
        <w:t xml:space="preserve"> selekcionāra tiesību piešķiršanai, 37 </w:t>
      </w:r>
      <w:smartTag w:uri="schemas-tilde-lv/tildestengine" w:element="veidnes">
        <w:smartTagPr>
          <w:attr w:name="baseform" w:val="iesniegum|s"/>
          <w:attr w:name="id" w:val="-1"/>
          <w:attr w:name="text" w:val="iesniegumi"/>
        </w:smartTagPr>
        <w:r w:rsidRPr="009E615F">
          <w:rPr>
            <w:rFonts w:asciiTheme="minorHAnsi" w:hAnsiTheme="minorHAnsi"/>
          </w:rPr>
          <w:lastRenderedPageBreak/>
          <w:t>iesniegumi</w:t>
        </w:r>
      </w:smartTag>
      <w:r w:rsidRPr="009E615F">
        <w:rPr>
          <w:rFonts w:asciiTheme="minorHAnsi" w:hAnsiTheme="minorHAnsi"/>
        </w:rPr>
        <w:t xml:space="preserve"> šķirnes iekļaušanai katalogā, kā arī pieņemti 25 </w:t>
      </w:r>
      <w:smartTag w:uri="schemas-tilde-lv/tildestengine" w:element="veidnes">
        <w:smartTagPr>
          <w:attr w:name="baseform" w:val="iesniegum|s"/>
          <w:attr w:name="id" w:val="-1"/>
          <w:attr w:name="text" w:val="iesniegumi"/>
        </w:smartTagPr>
        <w:r w:rsidRPr="009E615F">
          <w:rPr>
            <w:rFonts w:asciiTheme="minorHAnsi" w:hAnsiTheme="minorHAnsi"/>
          </w:rPr>
          <w:t>iesniegumi</w:t>
        </w:r>
      </w:smartTag>
      <w:r w:rsidRPr="009E615F">
        <w:rPr>
          <w:rFonts w:asciiTheme="minorHAnsi" w:hAnsiTheme="minorHAnsi"/>
        </w:rPr>
        <w:t xml:space="preserve"> šķirņu saimniecisko īpašību novērtēšanai.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Oficiālajā valsts laikrakstā „Latvijas Vēstnesis” publicēta informācija par septiņiem reģistrētiem </w:t>
      </w:r>
      <w:smartTag w:uri="schemas-tilde-lv/tildestengine" w:element="veidnes">
        <w:smartTagPr>
          <w:attr w:name="text" w:val="iesniegumiem"/>
          <w:attr w:name="id" w:val="-1"/>
          <w:attr w:name="baseform" w:val="iesniegum|s"/>
        </w:smartTagPr>
        <w:r w:rsidRPr="009E615F">
          <w:rPr>
            <w:rFonts w:asciiTheme="minorHAnsi" w:hAnsiTheme="minorHAnsi"/>
          </w:rPr>
          <w:t>iesniegumiem</w:t>
        </w:r>
      </w:smartTag>
      <w:r w:rsidRPr="009E615F">
        <w:rPr>
          <w:rFonts w:asciiTheme="minorHAnsi" w:hAnsiTheme="minorHAnsi"/>
        </w:rPr>
        <w:t xml:space="preserve"> selekcionāra tiesību piešķiršanai, par selekcionāra tiesību piešķiršanu 26 šķirnēm, par selekcionāra tiesību spēka zaudēšanu 11 augu šķirnēm, par reģistrētajiem šķirnes nosaukumiem 18 augu šķirnēm un cita likumā paredzētā informācija selekcionāra tiesību piešķiršanas jomā, kopā 18 publikācijas, kā arī publicēta informācija par augu šķirņu iekļaušanu un svītrošanu Latvijas augu šķirņu katalogā, par grozījumiem Latvijas augu šķirņu katalogā, kopā 11 publikācijas.</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Uz gada beigām Latvijas augu šķirņu katalogā pavisam bija 238 šķirnes, tajā skaitā Latvijā selekcionētas 79 šķirnes. </w:t>
      </w:r>
    </w:p>
    <w:p w:rsidR="00961EEC" w:rsidRPr="00680A26" w:rsidRDefault="00961EEC" w:rsidP="00961EEC">
      <w:pPr>
        <w:ind w:firstLine="720"/>
        <w:jc w:val="both"/>
        <w:rPr>
          <w:sz w:val="16"/>
          <w:szCs w:val="16"/>
        </w:rPr>
      </w:pPr>
    </w:p>
    <w:p w:rsidR="00961EEC" w:rsidRPr="009E615F" w:rsidRDefault="00961EEC" w:rsidP="009E615F">
      <w:pPr>
        <w:widowControl w:val="0"/>
        <w:tabs>
          <w:tab w:val="center" w:pos="4559"/>
        </w:tabs>
        <w:spacing w:before="120"/>
        <w:rPr>
          <w:rFonts w:asciiTheme="minorHAnsi" w:hAnsiTheme="minorHAnsi"/>
          <w:i/>
          <w:color w:val="943634" w:themeColor="accent2" w:themeShade="BF"/>
        </w:rPr>
      </w:pPr>
      <w:r w:rsidRPr="009E615F">
        <w:rPr>
          <w:rFonts w:asciiTheme="minorHAnsi" w:hAnsiTheme="minorHAnsi"/>
          <w:i/>
          <w:color w:val="943634" w:themeColor="accent2" w:themeShade="BF"/>
        </w:rPr>
        <w:t>Latvijas augu šķirņu katalogā iekļauto augu šķirņu skaits uz</w:t>
      </w:r>
      <w:r w:rsidR="009E615F">
        <w:rPr>
          <w:rFonts w:asciiTheme="minorHAnsi" w:hAnsiTheme="minorHAnsi"/>
          <w:i/>
          <w:color w:val="943634" w:themeColor="accent2" w:themeShade="BF"/>
        </w:rPr>
        <w:t xml:space="preserve"> </w:t>
      </w:r>
      <w:r w:rsidRPr="009E615F">
        <w:rPr>
          <w:rFonts w:asciiTheme="minorHAnsi" w:hAnsiTheme="minorHAnsi"/>
          <w:i/>
          <w:color w:val="943634" w:themeColor="accent2" w:themeShade="BF"/>
        </w:rPr>
        <w:t>2012. gada 31.decembri</w:t>
      </w:r>
    </w:p>
    <w:p w:rsidR="00961EEC" w:rsidRPr="000A6492" w:rsidRDefault="00961EEC" w:rsidP="009E615F">
      <w:r>
        <w:rPr>
          <w:noProof/>
        </w:rPr>
        <w:drawing>
          <wp:inline distT="0" distB="0" distL="0" distR="0" wp14:anchorId="4B8776AD" wp14:editId="26E0A823">
            <wp:extent cx="4101465" cy="2546985"/>
            <wp:effectExtent l="0" t="0" r="0" b="5715"/>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61EEC" w:rsidRDefault="00961EEC" w:rsidP="00961EEC">
      <w:pPr>
        <w:ind w:firstLine="720"/>
        <w:jc w:val="both"/>
        <w:rPr>
          <w:b/>
          <w:bCs/>
          <w:sz w:val="16"/>
          <w:szCs w:val="16"/>
        </w:rPr>
      </w:pP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Latvijas augu šķirņu katalogā visvairāk šķirņu ir no Vācijas – 94, Latvijas –79, Dānijas – 14, Nīderlandes –13, Zviedrijas – 9, Lielbritānijas – 8, Francijas –7 un Polijas – 6. Pavisam Latvijas augu šķirņu katalogā ir pārstāvētas 16 valstis. </w:t>
      </w:r>
    </w:p>
    <w:p w:rsidR="00961EEC" w:rsidRPr="00E126ED" w:rsidRDefault="00961EEC" w:rsidP="00961EEC">
      <w:pPr>
        <w:ind w:firstLine="720"/>
        <w:jc w:val="both"/>
      </w:pPr>
    </w:p>
    <w:p w:rsidR="00961EEC" w:rsidRPr="009E615F" w:rsidRDefault="00961EEC" w:rsidP="009E615F">
      <w:pPr>
        <w:widowControl w:val="0"/>
        <w:tabs>
          <w:tab w:val="center" w:pos="4559"/>
        </w:tabs>
        <w:spacing w:before="120"/>
        <w:rPr>
          <w:rFonts w:asciiTheme="minorHAnsi" w:hAnsiTheme="minorHAnsi"/>
          <w:i/>
          <w:color w:val="943634" w:themeColor="accent2" w:themeShade="BF"/>
        </w:rPr>
      </w:pPr>
      <w:r w:rsidRPr="009E615F">
        <w:rPr>
          <w:rFonts w:asciiTheme="minorHAnsi" w:hAnsiTheme="minorHAnsi"/>
          <w:i/>
          <w:color w:val="943634" w:themeColor="accent2" w:themeShade="BF"/>
        </w:rPr>
        <w:t>Šķirņu skaita sadalījums pa valstīm</w:t>
      </w:r>
    </w:p>
    <w:p w:rsidR="00961EEC" w:rsidRPr="00680A26" w:rsidRDefault="00961EEC" w:rsidP="009E615F">
      <w:pPr>
        <w:rPr>
          <w:b/>
          <w:bCs/>
          <w:sz w:val="16"/>
          <w:szCs w:val="16"/>
        </w:rPr>
      </w:pPr>
      <w:r>
        <w:rPr>
          <w:noProof/>
          <w:sz w:val="28"/>
          <w:szCs w:val="28"/>
        </w:rPr>
        <w:drawing>
          <wp:inline distT="0" distB="0" distL="0" distR="0" wp14:anchorId="139EFFAA" wp14:editId="55C2D208">
            <wp:extent cx="4545965" cy="2233930"/>
            <wp:effectExtent l="0" t="0" r="6985" b="0"/>
            <wp:docPr id="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Saskaņā ar līgumu, ar Polijas Augu šķirņu salīdzināšanas centru, par augu šķirņu AVS pārbaužu veikšanu pēc mūsu </w:t>
      </w:r>
      <w:smartTag w:uri="schemas-tilde-lv/tildestengine" w:element="veidnes">
        <w:smartTagPr>
          <w:attr w:name="baseform" w:val="pieteikum|s"/>
          <w:attr w:name="id" w:val="-1"/>
          <w:attr w:name="text" w:val="pieteikuma"/>
        </w:smartTagPr>
        <w:r w:rsidRPr="009E615F">
          <w:rPr>
            <w:rFonts w:asciiTheme="minorHAnsi" w:hAnsiTheme="minorHAnsi"/>
          </w:rPr>
          <w:t>pieteikuma</w:t>
        </w:r>
      </w:smartTag>
      <w:r w:rsidRPr="009E615F">
        <w:rPr>
          <w:rFonts w:asciiTheme="minorHAnsi" w:hAnsiTheme="minorHAnsi"/>
        </w:rPr>
        <w:t xml:space="preserve"> Polijā 2012. gadā, ir veiktas AVS pārbaudes deviņām augu </w:t>
      </w:r>
      <w:r w:rsidRPr="009E615F">
        <w:rPr>
          <w:rFonts w:asciiTheme="minorHAnsi" w:hAnsiTheme="minorHAnsi"/>
        </w:rPr>
        <w:lastRenderedPageBreak/>
        <w:t xml:space="preserve">šķirnēm, no tām pārbaude ir pabeigta vienai augu šķirnei.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Atšķirīguma, viendabīguma un stabilitātes (AVS) pārbaudes Latvijā tika veiktas piecām vīnogu šķirnēm.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2012.gadā tika veikta AVS pārbaudes atskaišu izvērtēšana un pārbaudes rezultātu apstiprināšana piecām šķirnēm, reģistrēti 190 licenču līgumi selekcionāra tiesību nodošanai, noslēgts viens vienošanās protokols par AVS pārbaudi Latvijā, sagatavoti 13 lēmumi par iekļaušanu Latvijas augu šķirņu katalogā un 14 lēmumi par svītrošanu no tā, 10 lēmumi par neiekļaušanu Latvijas augu šķirņu katalogā un 16 lēmumi par šķirņu uzturēšanas termiņa pagarināšanu Latvijas augu šķirņu katalogā, kopā – 53 lēmumi.</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Noslēgts viens līgums, 10 vienošanās protokoli par augu šķirņu SĪN ar Latvijas un ārzemju pasūtītājiem, sagatavoti četri augu šķirņu SĪN izmēģinājumu plāni vasarājiem un zālaugiem, slimību novērtēšanas izmēģinājumam, ziemas rapsim un ziemāju labībām, sagatavotas vienošanās pie līguma, vienošanās par grozījumiem vienošanās protokolā ar izpildītājiem, sagatavoti četri vienošanās protokoli par augu šķirņu SĪN konvencionālajā lauksaimniecībā ar izpildītājiem.</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Sagatavoti 14 pieņemšanas nodošanas akti par paveikto darbu ar pasūtītājiem, pieņemti un izvērtēti astoņi izmēģinājumu veicēju sagatavotie pieņemšanas nodošanas akti, veiktas astoņas šķirņu saimniecisko īpašību novērtēšanas lauku izmēģinājumu pārbaudes sastādot pārbaudes aktus, izrakstīts 41 rēķins pasūtītājiem par SĪN veikšanu un par iesniegumiem par augu šķirnes SĪN un veikta valsts nodevas un rēķinu apmaksas pārbaude.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Pieņemti un pārbaudīti 66 pārskati konvencionālajā lauksaimniecībā par SĪN rezultātiem un 10 pārskati ķīmiski tehnoloģiskajām analīzēm, veikta lauku izmēģinājumos un ķīmiski-tehnoloģiskās analīzēs iegūto datu apkopošana un matemātiska apstrāde.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Sagatavoti un nosūtīti pasūtītājiem augu šķirņu saimniecisko īpašību novērtēšanas rezultāti. Sagatavota un nosūtīta informācija par SĪN rezultātiem, par izmaiņām, papildinājumiem katalogā un sagatavotas atbildes uz jautājumiem mājaslapā.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 xml:space="preserve">Ierīkoti vasarāju, zālaugu un ziemāju izmēģinājumi konvencionālajā lauksaimniecībā -102 šķirnēm, kā arī augu šķirņu slimību novērtēšanas izmēģinājumi - 69 šķirnēm. </w:t>
      </w:r>
    </w:p>
    <w:p w:rsidR="00961EEC" w:rsidRPr="009E615F" w:rsidRDefault="00961EEC" w:rsidP="009E615F">
      <w:pPr>
        <w:widowControl w:val="0"/>
        <w:spacing w:before="120"/>
        <w:jc w:val="both"/>
        <w:rPr>
          <w:rFonts w:asciiTheme="minorHAnsi" w:hAnsiTheme="minorHAnsi"/>
        </w:rPr>
      </w:pPr>
      <w:r w:rsidRPr="009E615F">
        <w:rPr>
          <w:rFonts w:asciiTheme="minorHAnsi" w:hAnsiTheme="minorHAnsi"/>
        </w:rPr>
        <w:t>Sagatavota informācija par šķirnes iekļaušanu katalogā, svītrošanu no tā un tās atrašanās termiņa pagarināšanu – četrām ekspertu grupām un NAŠP, nodrošināts ekspertu grupu darbs, sagatavota un nosūtīta informācija Eiropas Savienības komisijai un Eiropas Savienības institūcijām par iesniegumiem šķirņu iekļaušanai Latvijas augu šķirņu katalogā un izmaiņām augu šķirņu katalogā - astoņas reizes, OECD – vienu reizi.</w:t>
      </w:r>
    </w:p>
    <w:p w:rsidR="00961EEC" w:rsidRDefault="00961EEC" w:rsidP="00961EEC"/>
    <w:p w:rsidR="006B11C2" w:rsidRPr="004E6BD8" w:rsidRDefault="006B11C2" w:rsidP="00511419">
      <w:pPr>
        <w:keepNext/>
        <w:spacing w:before="120"/>
        <w:ind w:firstLine="720"/>
        <w:jc w:val="center"/>
        <w:rPr>
          <w:rFonts w:asciiTheme="minorHAnsi" w:hAnsiTheme="minorHAnsi"/>
          <w:b/>
          <w:bCs/>
        </w:rPr>
      </w:pPr>
    </w:p>
    <w:p w:rsidR="000B0C6A" w:rsidRDefault="000B0C6A">
      <w:pPr>
        <w:rPr>
          <w:b/>
        </w:rPr>
      </w:pPr>
      <w:bookmarkStart w:id="30" w:name="_Toc329957689"/>
      <w:r>
        <w:rPr>
          <w:b/>
        </w:rPr>
        <w:br w:type="page"/>
      </w:r>
    </w:p>
    <w:p w:rsidR="004A3B88" w:rsidRDefault="00616B48" w:rsidP="00212C58">
      <w:pPr>
        <w:pStyle w:val="Heading3"/>
      </w:pPr>
      <w:bookmarkStart w:id="31" w:name="_Toc364414725"/>
      <w:bookmarkStart w:id="32" w:name="_Toc364414867"/>
      <w:r>
        <w:lastRenderedPageBreak/>
        <w:t>4.</w:t>
      </w:r>
      <w:r w:rsidR="004A3B88">
        <w:t>4</w:t>
      </w:r>
      <w:r>
        <w:t>.</w:t>
      </w:r>
      <w:r w:rsidR="004A3B88">
        <w:t xml:space="preserve"> Agroķīmijas joma</w:t>
      </w:r>
      <w:bookmarkEnd w:id="31"/>
      <w:bookmarkEnd w:id="32"/>
    </w:p>
    <w:p w:rsidR="00616B48" w:rsidRDefault="004A3B88" w:rsidP="00212C58">
      <w:r w:rsidRPr="00212C58">
        <w:t xml:space="preserve">4.4.1. </w:t>
      </w:r>
      <w:r w:rsidR="00616B48" w:rsidRPr="00212C58">
        <w:t>Mēslošanas līdzekļu aprites uzraudzība</w:t>
      </w:r>
    </w:p>
    <w:p w:rsidR="00212C58" w:rsidRPr="00212C58" w:rsidRDefault="00212C58" w:rsidP="00212C58"/>
    <w:p w:rsidR="00616B48" w:rsidRPr="001B5213" w:rsidRDefault="00616B48" w:rsidP="001B5213">
      <w:pPr>
        <w:widowControl w:val="0"/>
        <w:shd w:val="clear" w:color="auto" w:fill="EAF1DD" w:themeFill="accent3" w:themeFillTint="33"/>
        <w:spacing w:before="120"/>
        <w:jc w:val="both"/>
        <w:rPr>
          <w:rFonts w:asciiTheme="minorHAnsi" w:hAnsiTheme="minorHAnsi"/>
          <w:sz w:val="28"/>
        </w:rPr>
      </w:pPr>
      <w:r w:rsidRPr="001B5213">
        <w:rPr>
          <w:rFonts w:asciiTheme="minorHAnsi" w:hAnsiTheme="minorHAnsi"/>
          <w:sz w:val="28"/>
        </w:rPr>
        <w:t xml:space="preserve">Izmaiņas </w:t>
      </w:r>
      <w:r w:rsidR="004A3B88">
        <w:rPr>
          <w:rFonts w:asciiTheme="minorHAnsi" w:hAnsiTheme="minorHAnsi"/>
          <w:sz w:val="28"/>
        </w:rPr>
        <w:t>2012.</w:t>
      </w:r>
      <w:r w:rsidRPr="001B5213">
        <w:rPr>
          <w:rFonts w:asciiTheme="minorHAnsi" w:hAnsiTheme="minorHAnsi"/>
          <w:sz w:val="28"/>
        </w:rPr>
        <w:t>gadā</w:t>
      </w:r>
    </w:p>
    <w:p w:rsidR="00616B48" w:rsidRPr="001B5213" w:rsidRDefault="00616B48" w:rsidP="001B5213">
      <w:pPr>
        <w:widowControl w:val="0"/>
        <w:spacing w:before="120"/>
        <w:jc w:val="both"/>
        <w:rPr>
          <w:rFonts w:asciiTheme="minorHAnsi" w:hAnsiTheme="minorHAnsi"/>
        </w:rPr>
      </w:pPr>
      <w:r w:rsidRPr="001B5213">
        <w:rPr>
          <w:rFonts w:asciiTheme="minorHAnsi" w:hAnsiTheme="minorHAnsi"/>
        </w:rPr>
        <w:t xml:space="preserve">Tika izdots viens </w:t>
      </w:r>
      <w:r w:rsidR="004B6E67">
        <w:rPr>
          <w:rFonts w:asciiTheme="minorHAnsi" w:hAnsiTheme="minorHAnsi"/>
        </w:rPr>
        <w:t>VAAD</w:t>
      </w:r>
      <w:r w:rsidR="004B6E67" w:rsidRPr="001B5213">
        <w:rPr>
          <w:rFonts w:asciiTheme="minorHAnsi" w:hAnsiTheme="minorHAnsi"/>
        </w:rPr>
        <w:t xml:space="preserve"> </w:t>
      </w:r>
      <w:r w:rsidRPr="001B5213">
        <w:rPr>
          <w:rFonts w:asciiTheme="minorHAnsi" w:hAnsiTheme="minorHAnsi"/>
        </w:rPr>
        <w:t xml:space="preserve">2012.gada 2.februāra </w:t>
      </w:r>
      <w:smartTag w:uri="schemas-tilde-lv/tildestengine" w:element="veidnes">
        <w:smartTagPr>
          <w:attr w:name="id" w:val="-1"/>
          <w:attr w:name="baseform" w:val="rīkojums"/>
          <w:attr w:name="text" w:val="rīkojums"/>
        </w:smartTagPr>
        <w:r w:rsidRPr="001B5213">
          <w:rPr>
            <w:rFonts w:asciiTheme="minorHAnsi" w:hAnsiTheme="minorHAnsi"/>
          </w:rPr>
          <w:t>rīkojums</w:t>
        </w:r>
      </w:smartTag>
      <w:r w:rsidRPr="001B5213">
        <w:rPr>
          <w:rFonts w:asciiTheme="minorHAnsi" w:hAnsiTheme="minorHAnsi"/>
        </w:rPr>
        <w:t xml:space="preserve"> Nr.21 „Par mēslošanas līdzekļu kontroles paraugu testējamiem rādītājiem 2012.gadā” (turpmāk – </w:t>
      </w:r>
      <w:smartTag w:uri="schemas-tilde-lv/tildestengine" w:element="veidnes">
        <w:smartTagPr>
          <w:attr w:name="id" w:val="-1"/>
          <w:attr w:name="baseform" w:val="rīkojums"/>
          <w:attr w:name="text" w:val="rīkojums"/>
        </w:smartTagPr>
        <w:r w:rsidRPr="001B5213">
          <w:rPr>
            <w:rFonts w:asciiTheme="minorHAnsi" w:hAnsiTheme="minorHAnsi"/>
          </w:rPr>
          <w:t>rīkojums</w:t>
        </w:r>
      </w:smartTag>
      <w:r w:rsidRPr="001B5213">
        <w:rPr>
          <w:rFonts w:asciiTheme="minorHAnsi" w:hAnsiTheme="minorHAnsi"/>
        </w:rPr>
        <w:t xml:space="preserve">). Rīkojumā, ņemot vērā </w:t>
      </w:r>
      <w:r w:rsidR="004B6E67">
        <w:rPr>
          <w:rFonts w:asciiTheme="minorHAnsi" w:hAnsiTheme="minorHAnsi"/>
        </w:rPr>
        <w:t>VAAD</w:t>
      </w:r>
      <w:r w:rsidR="004B6E67" w:rsidRPr="001B5213">
        <w:rPr>
          <w:rFonts w:asciiTheme="minorHAnsi" w:hAnsiTheme="minorHAnsi"/>
        </w:rPr>
        <w:t xml:space="preserve"> </w:t>
      </w:r>
      <w:r w:rsidRPr="001B5213">
        <w:rPr>
          <w:rFonts w:asciiTheme="minorHAnsi" w:hAnsiTheme="minorHAnsi"/>
        </w:rPr>
        <w:t xml:space="preserve">ierobežotos budžeta līdzekļus, tika noteikts testējamo rādītāju minimums katrai mēslošanas līdzekļu grupai. Tika izdota </w:t>
      </w:r>
      <w:r w:rsidR="004B6E67">
        <w:rPr>
          <w:rFonts w:asciiTheme="minorHAnsi" w:hAnsiTheme="minorHAnsi"/>
        </w:rPr>
        <w:t>VAAD</w:t>
      </w:r>
      <w:r w:rsidR="004B6E67" w:rsidRPr="001B5213">
        <w:rPr>
          <w:rFonts w:asciiTheme="minorHAnsi" w:hAnsiTheme="minorHAnsi"/>
        </w:rPr>
        <w:t xml:space="preserve"> </w:t>
      </w:r>
      <w:r w:rsidRPr="001B5213">
        <w:rPr>
          <w:rFonts w:asciiTheme="minorHAnsi" w:hAnsiTheme="minorHAnsi"/>
        </w:rPr>
        <w:t xml:space="preserve">2012.gada 1.jūnija </w:t>
      </w:r>
      <w:smartTag w:uri="schemas-tilde-lv/tildestengine" w:element="veidnes">
        <w:smartTagPr>
          <w:attr w:name="id" w:val="-1"/>
          <w:attr w:name="baseform" w:val="instrukcija"/>
          <w:attr w:name="text" w:val="instrukcija"/>
        </w:smartTagPr>
        <w:r w:rsidRPr="001B5213">
          <w:rPr>
            <w:rFonts w:asciiTheme="minorHAnsi" w:hAnsiTheme="minorHAnsi"/>
          </w:rPr>
          <w:t>instrukcija</w:t>
        </w:r>
      </w:smartTag>
      <w:r w:rsidRPr="001B5213">
        <w:rPr>
          <w:rFonts w:asciiTheme="minorHAnsi" w:hAnsiTheme="minorHAnsi"/>
        </w:rPr>
        <w:t xml:space="preserve"> Nr.21 „Mēslošanas līdzekļu atbilstības normatīvajiem aktiem novērtēšanas kārtība mēslošanas līdzekļu aprites vietā”.</w:t>
      </w:r>
    </w:p>
    <w:p w:rsidR="00616B48" w:rsidRPr="007775E0" w:rsidRDefault="00616B48" w:rsidP="006732F0">
      <w:pPr>
        <w:widowControl w:val="0"/>
        <w:spacing w:before="120"/>
        <w:jc w:val="both"/>
        <w:rPr>
          <w:rFonts w:asciiTheme="minorHAnsi" w:hAnsiTheme="minorHAnsi"/>
        </w:rPr>
      </w:pPr>
      <w:r w:rsidRPr="001B5213">
        <w:rPr>
          <w:rFonts w:asciiTheme="minorHAnsi" w:hAnsiTheme="minorHAnsi"/>
        </w:rPr>
        <w:t>Lai nodrošinātu noteikumu prasību ieviešanu un mēslošanas līdzekļu lietošanas un uzskaites uzraudzību, tika</w:t>
      </w:r>
      <w:r w:rsidR="006732F0">
        <w:rPr>
          <w:rFonts w:asciiTheme="minorHAnsi" w:hAnsiTheme="minorHAnsi"/>
        </w:rPr>
        <w:t xml:space="preserve"> </w:t>
      </w:r>
      <w:r w:rsidRPr="007775E0">
        <w:rPr>
          <w:rFonts w:asciiTheme="minorHAnsi" w:hAnsiTheme="minorHAnsi"/>
        </w:rPr>
        <w:t>veikta reģionālo nodaļu</w:t>
      </w:r>
      <w:r w:rsidR="006732F0">
        <w:rPr>
          <w:rFonts w:asciiTheme="minorHAnsi" w:hAnsiTheme="minorHAnsi"/>
        </w:rPr>
        <w:t xml:space="preserve"> inspektoru apmācība un trīs reģionālo nodaļu inspektoru darba virsuzraudzība.</w:t>
      </w:r>
    </w:p>
    <w:p w:rsidR="006732F0" w:rsidRDefault="006732F0" w:rsidP="00561367">
      <w:pPr>
        <w:widowControl w:val="0"/>
        <w:jc w:val="both"/>
        <w:rPr>
          <w:rFonts w:asciiTheme="minorHAnsi" w:hAnsiTheme="minorHAnsi"/>
        </w:rPr>
      </w:pPr>
    </w:p>
    <w:p w:rsidR="00616B48" w:rsidRPr="007775E0" w:rsidRDefault="00616B48" w:rsidP="00561367">
      <w:pPr>
        <w:widowControl w:val="0"/>
        <w:jc w:val="both"/>
        <w:rPr>
          <w:rFonts w:asciiTheme="minorHAnsi" w:hAnsiTheme="minorHAnsi"/>
        </w:rPr>
      </w:pPr>
      <w:r w:rsidRPr="007775E0">
        <w:rPr>
          <w:rFonts w:asciiTheme="minorHAnsi" w:hAnsiTheme="minorHAnsi"/>
        </w:rPr>
        <w:t>2012.gadā notika aktīva sadarbība ar Zemkopības ministriju</w:t>
      </w:r>
      <w:r w:rsidR="006732F0">
        <w:rPr>
          <w:rFonts w:asciiTheme="minorHAnsi" w:hAnsiTheme="minorHAnsi"/>
        </w:rPr>
        <w:t xml:space="preserve"> pie normatīvo aktu grozījumiem.</w:t>
      </w:r>
    </w:p>
    <w:p w:rsidR="00616B48" w:rsidRPr="007775E0" w:rsidRDefault="00616B48" w:rsidP="00561367">
      <w:pPr>
        <w:pStyle w:val="ListParagraph"/>
        <w:widowControl w:val="0"/>
        <w:numPr>
          <w:ilvl w:val="0"/>
          <w:numId w:val="13"/>
        </w:numPr>
        <w:jc w:val="both"/>
        <w:rPr>
          <w:rFonts w:asciiTheme="minorHAnsi" w:hAnsiTheme="minorHAnsi"/>
        </w:rPr>
      </w:pPr>
      <w:r w:rsidRPr="007775E0">
        <w:rPr>
          <w:rFonts w:asciiTheme="minorHAnsi" w:hAnsiTheme="minorHAnsi"/>
        </w:rPr>
        <w:t>MK 27.06.2006 noteikumos Nr.530 „Mēslošanas līdzekļu identifikācijas, kvalitātes atbilstības novērtēšanas un tirdzniecības noteikumi” – par MBP mikrobioloģisko preparātu (turpmāk – MBP) pagaidu reģistrācijas nosacījumiem un bioloģiski aktīvus savienojumus saturošu mēslošanas līdzekļu testēšanas pārskatiem;</w:t>
      </w:r>
    </w:p>
    <w:p w:rsidR="00616B48" w:rsidRPr="007775E0" w:rsidRDefault="00616B48" w:rsidP="00561367">
      <w:pPr>
        <w:pStyle w:val="ListParagraph"/>
        <w:widowControl w:val="0"/>
        <w:numPr>
          <w:ilvl w:val="0"/>
          <w:numId w:val="13"/>
        </w:numPr>
        <w:jc w:val="both"/>
        <w:rPr>
          <w:rFonts w:asciiTheme="minorHAnsi" w:hAnsiTheme="minorHAnsi"/>
        </w:rPr>
      </w:pPr>
      <w:r w:rsidRPr="007775E0">
        <w:rPr>
          <w:rFonts w:asciiTheme="minorHAnsi" w:hAnsiTheme="minorHAnsi"/>
        </w:rPr>
        <w:t>MK 30.01.2007 noteikumos Nr.83 „Noteikumi par valsts nodevu par mēslošanas līdzekļa reģistrāciju vai atļaujas saņemšanu mēslošanas līdzekļa ievešanai vai tirdzniecībai, kā arī tās maksāšanas kārtību” – par valsts nodevas apmēru netipisku ML un augu augšanas veicinātāju reģistrācijai.</w:t>
      </w:r>
    </w:p>
    <w:p w:rsidR="00616B48" w:rsidRPr="007775E0" w:rsidRDefault="007775E0" w:rsidP="00561367">
      <w:pPr>
        <w:widowControl w:val="0"/>
        <w:jc w:val="both"/>
        <w:rPr>
          <w:rFonts w:asciiTheme="minorHAnsi" w:hAnsiTheme="minorHAnsi"/>
        </w:rPr>
      </w:pPr>
      <w:r w:rsidRPr="007775E0">
        <w:rPr>
          <w:rFonts w:asciiTheme="minorHAnsi" w:hAnsiTheme="minorHAnsi"/>
        </w:rPr>
        <w:t>T</w:t>
      </w:r>
      <w:r w:rsidR="00616B48" w:rsidRPr="007775E0">
        <w:rPr>
          <w:rFonts w:asciiTheme="minorHAnsi" w:hAnsiTheme="minorHAnsi"/>
        </w:rPr>
        <w:t>urpināts darbs pie Kultūraugu uzraudzības valsts informācijas sistēmas (KUVIS) ML datu bāzes pilnveidošanas: nodrošināta iespēja ievadīt informāciju par netipiskiem mēslošanas līdzekļiem un augu augšanas veicinātājiem.</w:t>
      </w:r>
    </w:p>
    <w:p w:rsidR="00616B48" w:rsidRPr="00180A2C" w:rsidRDefault="00616B48" w:rsidP="00561367">
      <w:pPr>
        <w:jc w:val="both"/>
        <w:rPr>
          <w:b/>
        </w:rPr>
      </w:pPr>
    </w:p>
    <w:p w:rsidR="00616B48" w:rsidRPr="007775E0" w:rsidRDefault="00616B48" w:rsidP="007775E0">
      <w:pPr>
        <w:widowControl w:val="0"/>
        <w:spacing w:before="120"/>
        <w:jc w:val="both"/>
        <w:rPr>
          <w:rFonts w:asciiTheme="minorHAnsi" w:hAnsiTheme="minorHAnsi"/>
          <w:b/>
        </w:rPr>
      </w:pPr>
      <w:r w:rsidRPr="007775E0">
        <w:rPr>
          <w:rFonts w:asciiTheme="minorHAnsi" w:hAnsiTheme="minorHAnsi"/>
          <w:b/>
        </w:rPr>
        <w:t>Pārskata gada galvenās prioritātes (saskaņā ar stratēģiju, plānu u.c.) un informācija par to īstenošanu</w:t>
      </w:r>
    </w:p>
    <w:p w:rsidR="00616B48" w:rsidRPr="007775E0" w:rsidRDefault="00616B48" w:rsidP="00561367">
      <w:pPr>
        <w:widowControl w:val="0"/>
        <w:jc w:val="both"/>
        <w:rPr>
          <w:rFonts w:asciiTheme="minorHAnsi" w:hAnsiTheme="minorHAnsi"/>
        </w:rPr>
      </w:pPr>
      <w:r w:rsidRPr="007775E0">
        <w:rPr>
          <w:rFonts w:asciiTheme="minorHAnsi" w:hAnsiTheme="minorHAnsi"/>
        </w:rPr>
        <w:t>Mēslošanas līdzekļu jomā 2012.gadam bija paredzētas šādas prioritātes:</w:t>
      </w:r>
    </w:p>
    <w:p w:rsidR="00616B48" w:rsidRPr="007775E0" w:rsidRDefault="00616B48" w:rsidP="00561367">
      <w:pPr>
        <w:pStyle w:val="ListParagraph"/>
        <w:widowControl w:val="0"/>
        <w:numPr>
          <w:ilvl w:val="0"/>
          <w:numId w:val="19"/>
        </w:numPr>
        <w:jc w:val="both"/>
        <w:rPr>
          <w:rFonts w:asciiTheme="minorHAnsi" w:hAnsiTheme="minorHAnsi"/>
        </w:rPr>
      </w:pPr>
      <w:r w:rsidRPr="007775E0">
        <w:rPr>
          <w:rFonts w:asciiTheme="minorHAnsi" w:hAnsiTheme="minorHAnsi"/>
        </w:rPr>
        <w:t>uzsākt mikrobioloģisku preparātu, netipisku mēslošanas līdzekļu un augu augšanas veicinātāju reģistrāciju;</w:t>
      </w:r>
    </w:p>
    <w:p w:rsidR="00616B48" w:rsidRPr="007775E0" w:rsidRDefault="00616B48" w:rsidP="00561367">
      <w:pPr>
        <w:pStyle w:val="ListParagraph"/>
        <w:widowControl w:val="0"/>
        <w:numPr>
          <w:ilvl w:val="0"/>
          <w:numId w:val="19"/>
        </w:numPr>
        <w:jc w:val="both"/>
        <w:rPr>
          <w:rFonts w:asciiTheme="minorHAnsi" w:hAnsiTheme="minorHAnsi"/>
        </w:rPr>
      </w:pPr>
      <w:r w:rsidRPr="007775E0">
        <w:rPr>
          <w:rFonts w:asciiTheme="minorHAnsi" w:hAnsiTheme="minorHAnsi"/>
        </w:rPr>
        <w:t>nodrošināt mēslošanas līdzekļu, kas ražoti bioloģiskās saimniecībās, marķējuma uzraudzību un reģistrēto mēslošanas līdzekļu saraksta papildināšanu ar attiecīgajām norādēm par bioloģisko lauksaimniecību;</w:t>
      </w:r>
    </w:p>
    <w:p w:rsidR="00616B48" w:rsidRPr="007775E0" w:rsidRDefault="00616B48" w:rsidP="00561367">
      <w:pPr>
        <w:pStyle w:val="ListParagraph"/>
        <w:widowControl w:val="0"/>
        <w:numPr>
          <w:ilvl w:val="0"/>
          <w:numId w:val="19"/>
        </w:numPr>
        <w:jc w:val="both"/>
        <w:rPr>
          <w:rFonts w:asciiTheme="minorHAnsi" w:hAnsiTheme="minorHAnsi"/>
        </w:rPr>
      </w:pPr>
      <w:r w:rsidRPr="007775E0">
        <w:rPr>
          <w:rFonts w:asciiTheme="minorHAnsi" w:hAnsiTheme="minorHAnsi"/>
        </w:rPr>
        <w:t>nodrošināt reģionālo nodaļu mēslošanas līdzekļu inspektoru metodiskā darba virsuzraudzību.</w:t>
      </w:r>
    </w:p>
    <w:p w:rsidR="00616B48" w:rsidRPr="007775E0" w:rsidRDefault="00616B48" w:rsidP="00561367">
      <w:pPr>
        <w:pStyle w:val="ListParagraph"/>
        <w:widowControl w:val="0"/>
        <w:numPr>
          <w:ilvl w:val="0"/>
          <w:numId w:val="19"/>
        </w:numPr>
        <w:jc w:val="both"/>
        <w:rPr>
          <w:rFonts w:asciiTheme="minorHAnsi" w:hAnsiTheme="minorHAnsi"/>
        </w:rPr>
      </w:pPr>
      <w:r w:rsidRPr="007775E0">
        <w:rPr>
          <w:rFonts w:asciiTheme="minorHAnsi" w:hAnsiTheme="minorHAnsi"/>
        </w:rPr>
        <w:t xml:space="preserve">sniegt priekšlikumus </w:t>
      </w:r>
      <w:r w:rsidR="004B6E67">
        <w:rPr>
          <w:rFonts w:asciiTheme="minorHAnsi" w:hAnsiTheme="minorHAnsi"/>
        </w:rPr>
        <w:t>VAAD</w:t>
      </w:r>
      <w:r w:rsidR="004B6E67" w:rsidRPr="007775E0">
        <w:rPr>
          <w:rFonts w:asciiTheme="minorHAnsi" w:hAnsiTheme="minorHAnsi"/>
        </w:rPr>
        <w:t xml:space="preserve"> </w:t>
      </w:r>
      <w:r w:rsidRPr="007775E0">
        <w:rPr>
          <w:rFonts w:asciiTheme="minorHAnsi" w:hAnsiTheme="minorHAnsi"/>
        </w:rPr>
        <w:t>KUVIS pilnveidošanai ML jomā.</w:t>
      </w:r>
    </w:p>
    <w:p w:rsidR="00616B48" w:rsidRPr="00A57E2C" w:rsidRDefault="00616B48" w:rsidP="00561367">
      <w:pPr>
        <w:pStyle w:val="ListParagraph"/>
        <w:widowControl w:val="0"/>
        <w:numPr>
          <w:ilvl w:val="0"/>
          <w:numId w:val="19"/>
        </w:numPr>
        <w:jc w:val="both"/>
        <w:rPr>
          <w:b/>
          <w:i/>
        </w:rPr>
      </w:pPr>
      <w:r w:rsidRPr="007775E0">
        <w:rPr>
          <w:rFonts w:asciiTheme="minorHAnsi" w:hAnsiTheme="minorHAnsi"/>
        </w:rPr>
        <w:t>līdzdarboties ZM mēslošanas līdzekļu darba grupā, izvērtēt ZM izstrādātos normatīvo aktu projektus</w:t>
      </w:r>
      <w:r w:rsidRPr="00A57E2C">
        <w:t>.</w:t>
      </w:r>
    </w:p>
    <w:p w:rsidR="00616B48" w:rsidRPr="007775E0" w:rsidRDefault="00616B48" w:rsidP="00561367">
      <w:pPr>
        <w:widowControl w:val="0"/>
        <w:jc w:val="both"/>
        <w:rPr>
          <w:rFonts w:asciiTheme="minorHAnsi" w:hAnsiTheme="minorHAnsi"/>
        </w:rPr>
      </w:pPr>
      <w:r w:rsidRPr="007775E0">
        <w:rPr>
          <w:rFonts w:asciiTheme="minorHAnsi" w:hAnsiTheme="minorHAnsi"/>
        </w:rPr>
        <w:t xml:space="preserve">Prioritārie uzdevumi tika izpildīti, izņemot 2.punktā norādīto, jo no normatīvajos aktos noteiktajām bioloģiskās lauksaimniecības uzraudzības un kontroles institūcijām </w:t>
      </w:r>
      <w:r w:rsidR="004B6E67">
        <w:rPr>
          <w:rFonts w:asciiTheme="minorHAnsi" w:hAnsiTheme="minorHAnsi"/>
        </w:rPr>
        <w:t>VAAD</w:t>
      </w:r>
      <w:r w:rsidR="004B6E67" w:rsidRPr="007775E0">
        <w:rPr>
          <w:rFonts w:asciiTheme="minorHAnsi" w:hAnsiTheme="minorHAnsi"/>
        </w:rPr>
        <w:t xml:space="preserve"> </w:t>
      </w:r>
      <w:r w:rsidRPr="007775E0">
        <w:rPr>
          <w:rFonts w:asciiTheme="minorHAnsi" w:hAnsiTheme="minorHAnsi"/>
        </w:rPr>
        <w:t xml:space="preserve">netika saņemti paziņojumi par kāda no Mēslošanas līdzekļu valsts reģistrā iekļautā mēslošanas līdzekļa marķēšanu ar norādi „Bioloģiskā lauksaimniecība”. </w:t>
      </w:r>
    </w:p>
    <w:p w:rsidR="00616B48" w:rsidRPr="00180A2C" w:rsidRDefault="00616B48" w:rsidP="00616B48">
      <w:pPr>
        <w:jc w:val="both"/>
      </w:pPr>
    </w:p>
    <w:p w:rsidR="00616B48" w:rsidRPr="007775E0" w:rsidRDefault="00616B48" w:rsidP="007775E0">
      <w:pPr>
        <w:widowControl w:val="0"/>
        <w:shd w:val="clear" w:color="auto" w:fill="EAF1DD" w:themeFill="accent3" w:themeFillTint="33"/>
        <w:spacing w:before="120"/>
        <w:jc w:val="both"/>
        <w:rPr>
          <w:rFonts w:asciiTheme="minorHAnsi" w:hAnsiTheme="minorHAnsi"/>
          <w:sz w:val="28"/>
        </w:rPr>
      </w:pPr>
      <w:r w:rsidRPr="007775E0">
        <w:rPr>
          <w:rFonts w:asciiTheme="minorHAnsi" w:hAnsiTheme="minorHAnsi"/>
          <w:sz w:val="28"/>
        </w:rPr>
        <w:t>Sniegtie pakalpojumi</w:t>
      </w:r>
    </w:p>
    <w:p w:rsidR="00616B48" w:rsidRPr="007775E0" w:rsidRDefault="00616B48" w:rsidP="007775E0">
      <w:pPr>
        <w:widowControl w:val="0"/>
        <w:spacing w:before="120"/>
        <w:jc w:val="both"/>
        <w:rPr>
          <w:rFonts w:asciiTheme="minorHAnsi" w:hAnsiTheme="minorHAnsi"/>
        </w:rPr>
      </w:pPr>
      <w:r w:rsidRPr="007775E0">
        <w:rPr>
          <w:rFonts w:asciiTheme="minorHAnsi" w:hAnsiTheme="minorHAnsi"/>
        </w:rPr>
        <w:lastRenderedPageBreak/>
        <w:t>Saskaņā ar normatīvajiem aktiem personām, kas ražo, ieved vai iepako ML (izņemot ML ar EK marķējumu saskaņā ar Eiropas Parlamenta un padomes 2003.gada 13.oktobra regulu Nr.2003/2003 par mēslošanas līdzekļiem), tie ir jāreģistrē KUVIS Mēslošanas līdzekļu valsts reģistrā vai jāsaņem attiecīga atļauja to ievešanai un/vai tirdzniecībai.</w:t>
      </w:r>
    </w:p>
    <w:p w:rsidR="00616B48" w:rsidRDefault="007775E0" w:rsidP="007775E0">
      <w:pPr>
        <w:widowControl w:val="0"/>
        <w:spacing w:before="120"/>
        <w:jc w:val="both"/>
        <w:rPr>
          <w:rFonts w:asciiTheme="minorHAnsi" w:hAnsiTheme="minorHAnsi"/>
        </w:rPr>
      </w:pPr>
      <w:r>
        <w:rPr>
          <w:rFonts w:asciiTheme="minorHAnsi" w:hAnsiTheme="minorHAnsi"/>
        </w:rPr>
        <w:t>T</w:t>
      </w:r>
      <w:r w:rsidR="00616B48" w:rsidRPr="007775E0">
        <w:rPr>
          <w:rFonts w:asciiTheme="minorHAnsi" w:hAnsiTheme="minorHAnsi"/>
        </w:rPr>
        <w:t xml:space="preserve">abulā sniegta informācija par 2012.gadā reģistrētajiem ML un ML, kam izsniegta kāda no normatīvajos aktos paredzētajām atļaujām. </w:t>
      </w:r>
    </w:p>
    <w:p w:rsidR="007775E0" w:rsidRPr="007775E0" w:rsidRDefault="007775E0" w:rsidP="007775E0">
      <w:pPr>
        <w:widowControl w:val="0"/>
        <w:spacing w:before="120"/>
        <w:jc w:val="both"/>
        <w:rPr>
          <w:rFonts w:asciiTheme="minorHAnsi" w:hAnsiTheme="minorHAnsi"/>
        </w:rPr>
      </w:pPr>
    </w:p>
    <w:p w:rsidR="00616B48" w:rsidRPr="007775E0" w:rsidRDefault="00616B48" w:rsidP="007775E0">
      <w:pPr>
        <w:shd w:val="clear" w:color="auto" w:fill="DAEEF3" w:themeFill="accent5" w:themeFillTint="33"/>
        <w:jc w:val="both"/>
        <w:rPr>
          <w:rFonts w:asciiTheme="minorHAnsi" w:hAnsiTheme="minorHAnsi"/>
        </w:rPr>
      </w:pPr>
      <w:r w:rsidRPr="007775E0">
        <w:rPr>
          <w:rFonts w:asciiTheme="minorHAnsi" w:hAnsiTheme="minorHAnsi"/>
        </w:rPr>
        <w:t>Mēslošanas līdzekļu reģistrācija un atļauju izsniegšana 2012.gadā</w:t>
      </w:r>
    </w:p>
    <w:p w:rsidR="00616B48" w:rsidRPr="00A57E2C" w:rsidRDefault="00616B48" w:rsidP="00616B48">
      <w:pPr>
        <w:jc w:val="center"/>
        <w:rPr>
          <w:b/>
        </w:rPr>
      </w:pPr>
    </w:p>
    <w:tbl>
      <w:tblPr>
        <w:tblW w:w="8928" w:type="dxa"/>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1E0" w:firstRow="1" w:lastRow="1" w:firstColumn="1" w:lastColumn="1" w:noHBand="0" w:noVBand="0"/>
      </w:tblPr>
      <w:tblGrid>
        <w:gridCol w:w="5148"/>
        <w:gridCol w:w="1260"/>
        <w:gridCol w:w="1260"/>
        <w:gridCol w:w="1260"/>
      </w:tblGrid>
      <w:tr w:rsidR="00616B48" w:rsidRPr="00561367" w:rsidTr="007775E0">
        <w:tc>
          <w:tcPr>
            <w:tcW w:w="5148" w:type="dxa"/>
            <w:vMerge w:val="restart"/>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Darbības rezultatīvie rādītāji</w:t>
            </w:r>
          </w:p>
        </w:tc>
        <w:tc>
          <w:tcPr>
            <w:tcW w:w="1260" w:type="dxa"/>
            <w:vMerge w:val="restart"/>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smartTag w:uri="schemas-tilde-lv/tildestengine" w:element="veidnes">
              <w:smartTagPr>
                <w:attr w:name="id" w:val="-1"/>
                <w:attr w:name="baseform" w:val="Plāns"/>
                <w:attr w:name="text" w:val="Plāns"/>
              </w:smartTagPr>
              <w:r w:rsidRPr="00561367">
                <w:rPr>
                  <w:rFonts w:asciiTheme="minorHAnsi" w:hAnsiTheme="minorHAnsi"/>
                  <w:b/>
                  <w:sz w:val="20"/>
                  <w:szCs w:val="20"/>
                </w:rPr>
                <w:t>Plāns</w:t>
              </w:r>
            </w:smartTag>
            <w:r w:rsidRPr="00561367">
              <w:rPr>
                <w:rFonts w:asciiTheme="minorHAnsi" w:hAnsiTheme="minorHAnsi"/>
                <w:b/>
                <w:sz w:val="20"/>
                <w:szCs w:val="20"/>
              </w:rPr>
              <w:t>,</w:t>
            </w:r>
          </w:p>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2520" w:type="dxa"/>
            <w:gridSpan w:val="2"/>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Izpilde,</w:t>
            </w:r>
          </w:p>
        </w:tc>
      </w:tr>
      <w:tr w:rsidR="00616B48" w:rsidRPr="00561367" w:rsidTr="007775E0">
        <w:tc>
          <w:tcPr>
            <w:tcW w:w="5148" w:type="dxa"/>
            <w:vMerge/>
            <w:shd w:val="clear" w:color="auto" w:fill="auto"/>
          </w:tcPr>
          <w:p w:rsidR="00616B48" w:rsidRPr="00561367" w:rsidRDefault="00616B48" w:rsidP="007775E0">
            <w:pPr>
              <w:widowControl w:val="0"/>
              <w:spacing w:line="285" w:lineRule="auto"/>
              <w:jc w:val="center"/>
              <w:rPr>
                <w:rFonts w:asciiTheme="minorHAnsi" w:hAnsiTheme="minorHAnsi"/>
                <w:sz w:val="20"/>
                <w:szCs w:val="20"/>
              </w:rPr>
            </w:pPr>
          </w:p>
        </w:tc>
        <w:tc>
          <w:tcPr>
            <w:tcW w:w="1260" w:type="dxa"/>
            <w:vMerge/>
            <w:shd w:val="clear" w:color="auto" w:fill="auto"/>
          </w:tcPr>
          <w:p w:rsidR="00616B48" w:rsidRPr="00561367" w:rsidRDefault="00616B48" w:rsidP="007775E0">
            <w:pPr>
              <w:widowControl w:val="0"/>
              <w:spacing w:line="285" w:lineRule="auto"/>
              <w:jc w:val="center"/>
              <w:rPr>
                <w:rFonts w:asciiTheme="minorHAnsi" w:hAnsiTheme="minorHAnsi"/>
                <w:sz w:val="20"/>
                <w:szCs w:val="20"/>
              </w:rPr>
            </w:pP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skaits</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w:t>
            </w:r>
          </w:p>
        </w:tc>
      </w:tr>
      <w:tr w:rsidR="00616B48" w:rsidRPr="00561367" w:rsidTr="007775E0">
        <w:tc>
          <w:tcPr>
            <w:tcW w:w="514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Mēslošanas līdzekļu reģistrācija (apliecību skaits)</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60</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114</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190</w:t>
            </w:r>
          </w:p>
        </w:tc>
      </w:tr>
      <w:tr w:rsidR="00616B48" w:rsidRPr="00561367" w:rsidTr="007775E0">
        <w:tc>
          <w:tcPr>
            <w:tcW w:w="514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Atļaujas mēslošanas līdzekļu ievešanai un tirdzniecībai (atļauju skaits)</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20</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27</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135</w:t>
            </w:r>
          </w:p>
        </w:tc>
      </w:tr>
      <w:tr w:rsidR="00616B48" w:rsidRPr="00561367" w:rsidTr="007775E0">
        <w:tc>
          <w:tcPr>
            <w:tcW w:w="5148" w:type="dxa"/>
            <w:shd w:val="clear" w:color="auto" w:fill="auto"/>
          </w:tcPr>
          <w:p w:rsidR="00616B48" w:rsidRPr="00561367" w:rsidRDefault="00616B48" w:rsidP="007775E0">
            <w:pPr>
              <w:widowControl w:val="0"/>
              <w:spacing w:line="285" w:lineRule="auto"/>
              <w:jc w:val="right"/>
              <w:rPr>
                <w:rFonts w:asciiTheme="minorHAnsi" w:hAnsiTheme="minorHAnsi"/>
                <w:b/>
                <w:sz w:val="20"/>
                <w:szCs w:val="20"/>
              </w:rPr>
            </w:pPr>
            <w:r w:rsidRPr="00561367">
              <w:rPr>
                <w:rFonts w:asciiTheme="minorHAnsi" w:hAnsiTheme="minorHAnsi"/>
                <w:b/>
                <w:sz w:val="20"/>
                <w:szCs w:val="20"/>
              </w:rPr>
              <w:t>Kopā</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80</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141</w:t>
            </w:r>
          </w:p>
        </w:tc>
        <w:tc>
          <w:tcPr>
            <w:tcW w:w="126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176</w:t>
            </w:r>
          </w:p>
        </w:tc>
      </w:tr>
    </w:tbl>
    <w:p w:rsidR="00616B48" w:rsidRPr="00A57E2C" w:rsidRDefault="00616B48" w:rsidP="00616B48">
      <w:pPr>
        <w:jc w:val="both"/>
      </w:pPr>
    </w:p>
    <w:p w:rsidR="00616B48" w:rsidRPr="007775E0" w:rsidRDefault="00616B48" w:rsidP="007775E0">
      <w:pPr>
        <w:widowControl w:val="0"/>
        <w:spacing w:before="120"/>
        <w:jc w:val="both"/>
        <w:rPr>
          <w:rFonts w:asciiTheme="minorHAnsi" w:hAnsiTheme="minorHAnsi"/>
        </w:rPr>
      </w:pPr>
      <w:r w:rsidRPr="007775E0">
        <w:rPr>
          <w:rFonts w:asciiTheme="minorHAnsi" w:hAnsiTheme="minorHAnsi"/>
        </w:rPr>
        <w:t>Kā redzams, 2012.gadā tika reģistrēts gandrīz divreiz vairāk mēslošanas līdzekļu (190 %) nekā bija plānots. Lielu reģistrēto mēslošanas līdzekļu īpatsvaru ve</w:t>
      </w:r>
      <w:smartTag w:uri="urn:schemas-microsoft-com:office:smarttags" w:element="PersonName">
        <w:r w:rsidRPr="007775E0">
          <w:rPr>
            <w:rFonts w:asciiTheme="minorHAnsi" w:hAnsiTheme="minorHAnsi"/>
          </w:rPr>
          <w:t>id</w:t>
        </w:r>
      </w:smartTag>
      <w:r w:rsidRPr="007775E0">
        <w:rPr>
          <w:rFonts w:asciiTheme="minorHAnsi" w:hAnsiTheme="minorHAnsi"/>
        </w:rPr>
        <w:t>o MBP, kuru reģistrācija tika uzsākta tikai ar pārskata gadu, – 30 jeb 26 % no visiem reģistrētajiem ML</w:t>
      </w:r>
    </w:p>
    <w:p w:rsidR="00616B48" w:rsidRPr="007775E0" w:rsidRDefault="00616B48" w:rsidP="007775E0">
      <w:pPr>
        <w:widowControl w:val="0"/>
        <w:spacing w:before="120"/>
        <w:jc w:val="both"/>
        <w:rPr>
          <w:rFonts w:asciiTheme="minorHAnsi" w:hAnsiTheme="minorHAnsi"/>
        </w:rPr>
      </w:pPr>
      <w:r w:rsidRPr="007775E0">
        <w:rPr>
          <w:rFonts w:asciiTheme="minorHAnsi" w:hAnsiTheme="minorHAnsi"/>
        </w:rPr>
        <w:t>Arī izsniegto atļauju skaits bija lielāks nekā plānots – 27 jeb 135 % no plānotā. No 27 atļaujām 15 jeb 56 % ir izsniegtas tādu mēslošanas līdzekļu ievešanai vai tirdzniecībai, kas nav minēti MK 27.06.2006 noteikumos nr.530, bet nav bīstami apkārtējai v</w:t>
      </w:r>
      <w:smartTag w:uri="urn:schemas-microsoft-com:office:smarttags" w:element="PersonName">
        <w:r w:rsidRPr="007775E0">
          <w:rPr>
            <w:rFonts w:asciiTheme="minorHAnsi" w:hAnsiTheme="minorHAnsi"/>
          </w:rPr>
          <w:t>id</w:t>
        </w:r>
      </w:smartTag>
      <w:r w:rsidRPr="007775E0">
        <w:rPr>
          <w:rFonts w:asciiTheme="minorHAnsi" w:hAnsiTheme="minorHAnsi"/>
        </w:rPr>
        <w:t>ei un cilvēku un dzīvnieku veselībai, kas liecina par to, ka ražotāji strādā pie ar vien jaunu mēslošanas līdzekļu izstrādes.</w:t>
      </w:r>
    </w:p>
    <w:p w:rsidR="00616B48" w:rsidRDefault="00616B48" w:rsidP="007775E0">
      <w:pPr>
        <w:widowControl w:val="0"/>
        <w:spacing w:before="120"/>
        <w:jc w:val="both"/>
        <w:rPr>
          <w:rFonts w:asciiTheme="minorHAnsi" w:hAnsiTheme="minorHAnsi"/>
        </w:rPr>
      </w:pPr>
      <w:r w:rsidRPr="007775E0">
        <w:rPr>
          <w:rFonts w:asciiTheme="minorHAnsi" w:hAnsiTheme="minorHAnsi"/>
        </w:rPr>
        <w:t xml:space="preserve">Pēdējo gadu laikā ir mainījies mēslošanas līdzekļu sadalījums pa reģistrētāju grupām </w:t>
      </w:r>
    </w:p>
    <w:p w:rsidR="00561367" w:rsidRPr="00561367" w:rsidRDefault="00561367" w:rsidP="007775E0">
      <w:pPr>
        <w:widowControl w:val="0"/>
        <w:spacing w:before="120"/>
        <w:jc w:val="both"/>
        <w:rPr>
          <w:rFonts w:asciiTheme="minorHAnsi" w:hAnsiTheme="minorHAnsi"/>
          <w:sz w:val="4"/>
          <w:szCs w:val="4"/>
        </w:rPr>
      </w:pPr>
    </w:p>
    <w:p w:rsidR="00616B48" w:rsidRPr="007775E0" w:rsidRDefault="00616B48" w:rsidP="007775E0">
      <w:pPr>
        <w:shd w:val="clear" w:color="auto" w:fill="DAEEF3" w:themeFill="accent5" w:themeFillTint="33"/>
        <w:jc w:val="both"/>
        <w:rPr>
          <w:rFonts w:asciiTheme="minorHAnsi" w:hAnsiTheme="minorHAnsi"/>
        </w:rPr>
      </w:pPr>
      <w:r w:rsidRPr="007775E0">
        <w:rPr>
          <w:rFonts w:asciiTheme="minorHAnsi" w:hAnsiTheme="minorHAnsi"/>
        </w:rPr>
        <w:t>Reģistrētie mēslošanas līdzekļi pa reģistrētāju grupām</w:t>
      </w:r>
    </w:p>
    <w:p w:rsidR="00616B48" w:rsidRPr="00A57E2C" w:rsidRDefault="00616B48" w:rsidP="00616B48">
      <w:pPr>
        <w:jc w:val="center"/>
        <w:rPr>
          <w:b/>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1E0" w:firstRow="1" w:lastRow="1" w:firstColumn="1" w:lastColumn="1" w:noHBand="0" w:noVBand="0"/>
      </w:tblPr>
      <w:tblGrid>
        <w:gridCol w:w="1908"/>
        <w:gridCol w:w="900"/>
        <w:gridCol w:w="720"/>
        <w:gridCol w:w="900"/>
        <w:gridCol w:w="900"/>
        <w:gridCol w:w="900"/>
        <w:gridCol w:w="900"/>
        <w:gridCol w:w="900"/>
        <w:gridCol w:w="900"/>
      </w:tblGrid>
      <w:tr w:rsidR="00616B48" w:rsidRPr="00561367" w:rsidTr="007775E0">
        <w:tc>
          <w:tcPr>
            <w:tcW w:w="1908" w:type="dxa"/>
            <w:vMerge w:val="restart"/>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Reģistrētāju grupa</w:t>
            </w:r>
          </w:p>
        </w:tc>
        <w:tc>
          <w:tcPr>
            <w:tcW w:w="1620" w:type="dxa"/>
            <w:gridSpan w:val="2"/>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2009.gads</w:t>
            </w:r>
          </w:p>
        </w:tc>
        <w:tc>
          <w:tcPr>
            <w:tcW w:w="1800" w:type="dxa"/>
            <w:gridSpan w:val="2"/>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2010.gads</w:t>
            </w:r>
          </w:p>
        </w:tc>
        <w:tc>
          <w:tcPr>
            <w:tcW w:w="1800" w:type="dxa"/>
            <w:gridSpan w:val="2"/>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2011.gads</w:t>
            </w:r>
          </w:p>
        </w:tc>
        <w:tc>
          <w:tcPr>
            <w:tcW w:w="1800" w:type="dxa"/>
            <w:gridSpan w:val="2"/>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2012.gads</w:t>
            </w:r>
          </w:p>
        </w:tc>
      </w:tr>
      <w:tr w:rsidR="00616B48" w:rsidRPr="00561367" w:rsidTr="007775E0">
        <w:tc>
          <w:tcPr>
            <w:tcW w:w="1908" w:type="dxa"/>
            <w:vMerge/>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r>
      <w:tr w:rsidR="00616B48" w:rsidRPr="00561367" w:rsidTr="007775E0">
        <w:tc>
          <w:tcPr>
            <w:tcW w:w="190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Ražotie</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13</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15</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13</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19</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23</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24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69</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60</w:t>
            </w:r>
          </w:p>
        </w:tc>
      </w:tr>
      <w:tr w:rsidR="00616B48" w:rsidRPr="00561367" w:rsidTr="007775E0">
        <w:tc>
          <w:tcPr>
            <w:tcW w:w="190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Ievestie</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65</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75</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45</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67</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46</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48</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37</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32</w:t>
            </w:r>
          </w:p>
        </w:tc>
      </w:tr>
      <w:tr w:rsidR="00616B48" w:rsidRPr="00561367" w:rsidTr="007775E0">
        <w:tc>
          <w:tcPr>
            <w:tcW w:w="190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Mehāniskie maisījumi</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r>
      <w:tr w:rsidR="00616B48" w:rsidRPr="00561367" w:rsidTr="007775E0">
        <w:tc>
          <w:tcPr>
            <w:tcW w:w="1908" w:type="dxa"/>
            <w:shd w:val="clear" w:color="auto" w:fill="auto"/>
          </w:tcPr>
          <w:p w:rsidR="00616B48" w:rsidRPr="00561367" w:rsidRDefault="00616B48" w:rsidP="007775E0">
            <w:pPr>
              <w:widowControl w:val="0"/>
              <w:spacing w:line="285" w:lineRule="auto"/>
              <w:rPr>
                <w:rFonts w:asciiTheme="minorHAnsi" w:hAnsiTheme="minorHAnsi"/>
                <w:sz w:val="20"/>
                <w:szCs w:val="20"/>
              </w:rPr>
            </w:pPr>
            <w:r w:rsidRPr="00561367">
              <w:rPr>
                <w:rFonts w:asciiTheme="minorHAnsi" w:hAnsiTheme="minorHAnsi"/>
                <w:sz w:val="20"/>
                <w:szCs w:val="20"/>
              </w:rPr>
              <w:t>Iepakotie</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8</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8</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r>
      <w:tr w:rsidR="00616B48" w:rsidRPr="00561367" w:rsidTr="007775E0">
        <w:tc>
          <w:tcPr>
            <w:tcW w:w="1908" w:type="dxa"/>
            <w:shd w:val="clear" w:color="auto" w:fill="auto"/>
          </w:tcPr>
          <w:p w:rsidR="00616B48" w:rsidRPr="00561367" w:rsidRDefault="00616B48" w:rsidP="007775E0">
            <w:pPr>
              <w:widowControl w:val="0"/>
              <w:spacing w:line="285" w:lineRule="auto"/>
              <w:jc w:val="right"/>
              <w:rPr>
                <w:rFonts w:asciiTheme="minorHAnsi" w:hAnsiTheme="minorHAnsi"/>
                <w:sz w:val="20"/>
                <w:szCs w:val="20"/>
              </w:rPr>
            </w:pPr>
            <w:r w:rsidRPr="00561367">
              <w:rPr>
                <w:rFonts w:asciiTheme="minorHAnsi" w:hAnsiTheme="minorHAnsi"/>
                <w:sz w:val="20"/>
                <w:szCs w:val="20"/>
              </w:rPr>
              <w:t>Kopā</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87</w:t>
            </w:r>
          </w:p>
        </w:tc>
        <w:tc>
          <w:tcPr>
            <w:tcW w:w="72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67</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97</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114</w:t>
            </w:r>
          </w:p>
        </w:tc>
        <w:tc>
          <w:tcPr>
            <w:tcW w:w="900" w:type="dxa"/>
            <w:shd w:val="clear" w:color="auto" w:fill="auto"/>
          </w:tcPr>
          <w:p w:rsidR="00616B48" w:rsidRPr="00561367" w:rsidRDefault="00616B48" w:rsidP="007775E0">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r>
    </w:tbl>
    <w:p w:rsidR="00616B48" w:rsidRPr="00A57E2C" w:rsidRDefault="00616B48" w:rsidP="00616B48">
      <w:pPr>
        <w:jc w:val="center"/>
        <w:rPr>
          <w:b/>
        </w:rPr>
      </w:pPr>
    </w:p>
    <w:p w:rsidR="00616B48" w:rsidRPr="007775E0" w:rsidRDefault="00616B48" w:rsidP="007775E0">
      <w:pPr>
        <w:widowControl w:val="0"/>
        <w:spacing w:before="120"/>
        <w:jc w:val="both"/>
        <w:rPr>
          <w:rFonts w:asciiTheme="minorHAnsi" w:hAnsiTheme="minorHAnsi"/>
        </w:rPr>
      </w:pPr>
      <w:r w:rsidRPr="007775E0">
        <w:rPr>
          <w:rFonts w:asciiTheme="minorHAnsi" w:hAnsiTheme="minorHAnsi"/>
        </w:rPr>
        <w:t>Ar katru gadu samazinās ievedēju reģistrēto mēslošanas līdzekļu īpatsvars - no 75 % 2009.gadā līdz 32 % 2012.gadā un palielinās ražotāju reģistrēto ML īpatsvars – no 15 % 2009.gadā līdz 60 % 2012.gadā. Tā ir vērtējama kā pozitīva tendence, jo liecina gan par to, ka Latvijas uzņēmumi ražo arvien vairāk mēslošanas līdzekļu, gan par to, ka ML reģistrācijā iesaistās ārvalstu ražotāji un tas atvieglo administratīvo slogu Latvijas uzņēmumiem, kas ieved mēslošanas līdzekļus, jo šādā gadījumā tiem ML nav jāreģistrē.</w:t>
      </w:r>
    </w:p>
    <w:p w:rsidR="00616B48" w:rsidRPr="007775E0" w:rsidRDefault="00616B48" w:rsidP="007775E0">
      <w:pPr>
        <w:widowControl w:val="0"/>
        <w:spacing w:before="120"/>
        <w:jc w:val="both"/>
        <w:rPr>
          <w:rFonts w:asciiTheme="minorHAnsi" w:hAnsiTheme="minorHAnsi"/>
        </w:rPr>
      </w:pPr>
      <w:r w:rsidRPr="007775E0">
        <w:rPr>
          <w:rFonts w:asciiTheme="minorHAnsi" w:hAnsiTheme="minorHAnsi"/>
        </w:rPr>
        <w:t xml:space="preserve">Saskaņā ar Mēslošanas līdzekļu aprites likumu mēslošanas līdzekļu ievedēji un ražotāji katru gadu līdz 31.janvārim </w:t>
      </w:r>
      <w:r w:rsidR="004B6E67">
        <w:rPr>
          <w:rFonts w:asciiTheme="minorHAnsi" w:hAnsiTheme="minorHAnsi"/>
        </w:rPr>
        <w:t>VAAD</w:t>
      </w:r>
      <w:r w:rsidR="004B6E67" w:rsidRPr="007775E0">
        <w:rPr>
          <w:rFonts w:asciiTheme="minorHAnsi" w:hAnsiTheme="minorHAnsi"/>
        </w:rPr>
        <w:t xml:space="preserve"> </w:t>
      </w:r>
      <w:r w:rsidRPr="007775E0">
        <w:rPr>
          <w:rFonts w:asciiTheme="minorHAnsi" w:hAnsiTheme="minorHAnsi"/>
        </w:rPr>
        <w:t>iesniedz pārskatus par iepriekšējā gadā saražotajiem un ievestajiem mēslošanas līdzekļiem vai sagatavotajiem to maisījumiem. 3.tabulā apkopoti informācija par 2012.gadu.</w:t>
      </w:r>
    </w:p>
    <w:p w:rsidR="00616B48" w:rsidRDefault="00616B48" w:rsidP="00616B48">
      <w:pPr>
        <w:ind w:firstLine="720"/>
        <w:jc w:val="both"/>
      </w:pPr>
    </w:p>
    <w:p w:rsidR="00616B48" w:rsidRPr="007775E0" w:rsidRDefault="00616B48" w:rsidP="007775E0">
      <w:pPr>
        <w:shd w:val="clear" w:color="auto" w:fill="DAEEF3" w:themeFill="accent5" w:themeFillTint="33"/>
        <w:jc w:val="both"/>
        <w:rPr>
          <w:rFonts w:asciiTheme="minorHAnsi" w:hAnsiTheme="minorHAnsi"/>
        </w:rPr>
      </w:pPr>
      <w:r w:rsidRPr="007775E0">
        <w:rPr>
          <w:rFonts w:asciiTheme="minorHAnsi" w:hAnsiTheme="minorHAnsi"/>
        </w:rPr>
        <w:t>Ražoto un ievesto mēslošanas līdzekļu apjoms 2012.gadā, t</w:t>
      </w:r>
    </w:p>
    <w:p w:rsidR="00616B48" w:rsidRPr="007775E0" w:rsidRDefault="00616B48" w:rsidP="007775E0">
      <w:pPr>
        <w:shd w:val="clear" w:color="auto" w:fill="DAEEF3" w:themeFill="accent5" w:themeFillTint="33"/>
        <w:jc w:val="both"/>
        <w:rPr>
          <w:rFonts w:asciiTheme="minorHAnsi" w:hAnsiTheme="minorHAnsi"/>
        </w:rPr>
      </w:pPr>
      <w:r w:rsidRPr="007775E0">
        <w:rPr>
          <w:rFonts w:asciiTheme="minorHAnsi" w:hAnsiTheme="minorHAnsi"/>
        </w:rPr>
        <w:t>(saskaņā ar ražotāju un ievedēju iesniegto informāciju līdz 2013.gada 31.janvārim)</w:t>
      </w:r>
    </w:p>
    <w:p w:rsidR="00616B48" w:rsidRDefault="00616B48" w:rsidP="00616B48">
      <w:pPr>
        <w:jc w:val="center"/>
        <w:rPr>
          <w:b/>
        </w:rPr>
      </w:pPr>
    </w:p>
    <w:tbl>
      <w:tblPr>
        <w:tblW w:w="9006" w:type="dxa"/>
        <w:tblInd w:w="108"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2977"/>
        <w:gridCol w:w="1440"/>
        <w:gridCol w:w="1260"/>
        <w:gridCol w:w="1127"/>
        <w:gridCol w:w="1184"/>
        <w:gridCol w:w="1018"/>
      </w:tblGrid>
      <w:tr w:rsidR="00616B48" w:rsidRPr="00561367" w:rsidTr="007775E0">
        <w:tc>
          <w:tcPr>
            <w:tcW w:w="2977" w:type="dxa"/>
            <w:shd w:val="clear" w:color="auto" w:fill="auto"/>
          </w:tcPr>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Mēslošanas līdzekļa veids</w:t>
            </w:r>
          </w:p>
        </w:tc>
        <w:tc>
          <w:tcPr>
            <w:tcW w:w="1440" w:type="dxa"/>
            <w:shd w:val="clear" w:color="auto" w:fill="auto"/>
          </w:tcPr>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Reģistrētie ML*</w:t>
            </w:r>
          </w:p>
        </w:tc>
        <w:tc>
          <w:tcPr>
            <w:tcW w:w="1260" w:type="dxa"/>
            <w:shd w:val="clear" w:color="auto" w:fill="auto"/>
          </w:tcPr>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EK ML*</w:t>
            </w:r>
          </w:p>
        </w:tc>
        <w:tc>
          <w:tcPr>
            <w:tcW w:w="1127" w:type="dxa"/>
            <w:shd w:val="clear" w:color="auto" w:fill="auto"/>
          </w:tcPr>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Ar atļauju ievestie ML*</w:t>
            </w:r>
          </w:p>
        </w:tc>
        <w:tc>
          <w:tcPr>
            <w:tcW w:w="1184" w:type="dxa"/>
            <w:shd w:val="clear" w:color="auto" w:fill="auto"/>
          </w:tcPr>
          <w:p w:rsidR="00616B48" w:rsidRPr="00561367" w:rsidRDefault="00616B48" w:rsidP="00561367">
            <w:pPr>
              <w:widowControl w:val="0"/>
              <w:jc w:val="center"/>
              <w:rPr>
                <w:rFonts w:asciiTheme="minorHAnsi" w:hAnsiTheme="minorHAnsi"/>
                <w:b/>
                <w:sz w:val="20"/>
                <w:szCs w:val="20"/>
              </w:rPr>
            </w:pPr>
            <w:proofErr w:type="spellStart"/>
            <w:r w:rsidRPr="00561367">
              <w:rPr>
                <w:rFonts w:asciiTheme="minorHAnsi" w:hAnsiTheme="minorHAnsi"/>
                <w:b/>
                <w:sz w:val="20"/>
                <w:szCs w:val="20"/>
              </w:rPr>
              <w:t>Indivi-</w:t>
            </w:r>
            <w:proofErr w:type="spellEnd"/>
          </w:p>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duālie</w:t>
            </w:r>
          </w:p>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maisījumi*</w:t>
            </w:r>
          </w:p>
        </w:tc>
        <w:tc>
          <w:tcPr>
            <w:tcW w:w="1018" w:type="dxa"/>
            <w:shd w:val="clear" w:color="auto" w:fill="auto"/>
          </w:tcPr>
          <w:p w:rsidR="00616B48" w:rsidRPr="00561367" w:rsidRDefault="00616B48" w:rsidP="00561367">
            <w:pPr>
              <w:widowControl w:val="0"/>
              <w:jc w:val="center"/>
              <w:rPr>
                <w:rFonts w:asciiTheme="minorHAnsi" w:hAnsiTheme="minorHAnsi"/>
                <w:b/>
                <w:sz w:val="20"/>
                <w:szCs w:val="20"/>
              </w:rPr>
            </w:pPr>
            <w:r w:rsidRPr="00561367">
              <w:rPr>
                <w:rFonts w:asciiTheme="minorHAnsi" w:hAnsiTheme="minorHAnsi"/>
                <w:b/>
                <w:sz w:val="20"/>
                <w:szCs w:val="20"/>
              </w:rPr>
              <w:t>Kopā*</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 xml:space="preserve">Slāpekļa </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86535</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67948</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154483</w:t>
            </w:r>
          </w:p>
        </w:tc>
      </w:tr>
      <w:tr w:rsidR="00616B48" w:rsidRPr="00561367" w:rsidTr="007775E0">
        <w:trPr>
          <w:trHeight w:val="70"/>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amonija nitrāts (AN)</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77603</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25634</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103237</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amonija sulfāts</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561</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32211</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32772</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kalcija– amonija nitrāts (CAN)</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4961</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4961</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urīnviela (karbamīds)</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2277</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3362</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5639</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 xml:space="preserve">Fosfora </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w:t>
            </w:r>
          </w:p>
        </w:tc>
      </w:tr>
      <w:tr w:rsidR="00616B48" w:rsidRPr="00561367" w:rsidTr="007775E0">
        <w:trPr>
          <w:trHeight w:val="275"/>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superfosfāts</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Kālija</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5168</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644</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5812</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kālija hlorīds</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5168</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238</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5406</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kālija magnēzijs</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12</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12</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Kompleksie (cietie) minerālmēsli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121246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43740</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87332</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252318</w:t>
            </w:r>
          </w:p>
        </w:tc>
      </w:tr>
      <w:tr w:rsidR="00616B48" w:rsidRPr="00561367" w:rsidTr="007775E0">
        <w:trPr>
          <w:trHeight w:val="285"/>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NPK</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116810</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42817</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280</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159907</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t.sk. NPK 16-16-16</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23287</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23287</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sagatavoti mehāniski maisījumi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2764</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2764</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NP</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4436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791</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87052</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92279</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t.sk. NPK 33-3-0</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87052</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87052</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NK</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109</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109</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PK</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w:t>
            </w:r>
          </w:p>
        </w:tc>
      </w:tr>
      <w:tr w:rsidR="00616B48" w:rsidRPr="00561367" w:rsidTr="007775E0">
        <w:trPr>
          <w:trHeight w:val="377"/>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Šķ</w:t>
            </w:r>
            <w:smartTag w:uri="urn:schemas-microsoft-com:office:smarttags" w:element="PersonName">
              <w:r w:rsidRPr="00561367">
                <w:rPr>
                  <w:rFonts w:asciiTheme="minorHAnsi" w:hAnsiTheme="minorHAnsi"/>
                  <w:b/>
                  <w:bCs/>
                  <w:sz w:val="20"/>
                  <w:szCs w:val="20"/>
                </w:rPr>
                <w:t>id</w:t>
              </w:r>
            </w:smartTag>
            <w:r w:rsidRPr="00561367">
              <w:rPr>
                <w:rFonts w:asciiTheme="minorHAnsi" w:hAnsiTheme="minorHAnsi"/>
                <w:b/>
                <w:bCs/>
                <w:sz w:val="20"/>
                <w:szCs w:val="20"/>
              </w:rPr>
              <w:t>rie minerālmēsli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943</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6557</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23</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7523</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Šķ</w:t>
            </w:r>
            <w:smartTag w:uri="urn:schemas-microsoft-com:office:smarttags" w:element="PersonName">
              <w:r w:rsidRPr="00561367">
                <w:rPr>
                  <w:rFonts w:asciiTheme="minorHAnsi" w:hAnsiTheme="minorHAnsi"/>
                  <w:sz w:val="20"/>
                  <w:szCs w:val="20"/>
                </w:rPr>
                <w:t>id</w:t>
              </w:r>
            </w:smartTag>
            <w:r w:rsidRPr="00561367">
              <w:rPr>
                <w:rFonts w:asciiTheme="minorHAnsi" w:hAnsiTheme="minorHAnsi"/>
                <w:sz w:val="20"/>
                <w:szCs w:val="20"/>
              </w:rPr>
              <w:t>rie N</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942</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5916</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17</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6875</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t.sk. KAS-32</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942</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5838</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6780</w:t>
            </w:r>
          </w:p>
        </w:tc>
      </w:tr>
      <w:tr w:rsidR="00616B48" w:rsidRPr="00561367" w:rsidTr="007775E0">
        <w:trPr>
          <w:trHeight w:val="337"/>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Šķ</w:t>
            </w:r>
            <w:smartTag w:uri="urn:schemas-microsoft-com:office:smarttags" w:element="PersonName">
              <w:r w:rsidRPr="00561367">
                <w:rPr>
                  <w:rFonts w:asciiTheme="minorHAnsi" w:hAnsiTheme="minorHAnsi"/>
                  <w:sz w:val="20"/>
                  <w:szCs w:val="20"/>
                </w:rPr>
                <w:t>id</w:t>
              </w:r>
            </w:smartTag>
            <w:r w:rsidRPr="00561367">
              <w:rPr>
                <w:rFonts w:asciiTheme="minorHAnsi" w:hAnsiTheme="minorHAnsi"/>
                <w:sz w:val="20"/>
                <w:szCs w:val="20"/>
              </w:rPr>
              <w:t>rie NPK</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641</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648</w:t>
            </w:r>
          </w:p>
        </w:tc>
      </w:tr>
      <w:tr w:rsidR="00616B48" w:rsidRPr="00561367" w:rsidTr="007775E0">
        <w:trPr>
          <w:trHeight w:val="640"/>
        </w:trPr>
        <w:tc>
          <w:tcPr>
            <w:tcW w:w="2977" w:type="dxa"/>
            <w:shd w:val="clear" w:color="auto" w:fill="auto"/>
          </w:tcPr>
          <w:p w:rsidR="00616B48" w:rsidRPr="00561367" w:rsidRDefault="00616B48" w:rsidP="00561367">
            <w:pPr>
              <w:widowControl w:val="0"/>
              <w:rPr>
                <w:rFonts w:asciiTheme="minorHAnsi" w:hAnsiTheme="minorHAnsi"/>
                <w:b/>
                <w:bCs/>
                <w:sz w:val="20"/>
                <w:szCs w:val="20"/>
              </w:rPr>
            </w:pPr>
            <w:r w:rsidRPr="00561367">
              <w:rPr>
                <w:rFonts w:asciiTheme="minorHAnsi" w:hAnsiTheme="minorHAnsi"/>
                <w:b/>
                <w:bCs/>
                <w:sz w:val="20"/>
                <w:szCs w:val="20"/>
              </w:rPr>
              <w:t xml:space="preserve">Sekundāros augu barības elementus saturošie ML </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894</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894</w:t>
            </w:r>
          </w:p>
        </w:tc>
      </w:tr>
      <w:tr w:rsidR="00616B48" w:rsidRPr="00561367" w:rsidTr="007775E0">
        <w:trPr>
          <w:trHeight w:val="640"/>
        </w:trPr>
        <w:tc>
          <w:tcPr>
            <w:tcW w:w="2977" w:type="dxa"/>
            <w:shd w:val="clear" w:color="auto" w:fill="auto"/>
          </w:tcPr>
          <w:p w:rsidR="00616B48" w:rsidRPr="00561367" w:rsidRDefault="00616B48" w:rsidP="00561367">
            <w:pPr>
              <w:widowControl w:val="0"/>
              <w:rPr>
                <w:rFonts w:asciiTheme="minorHAnsi" w:hAnsiTheme="minorHAnsi"/>
                <w:b/>
                <w:bCs/>
                <w:sz w:val="20"/>
                <w:szCs w:val="20"/>
              </w:rPr>
            </w:pPr>
            <w:r w:rsidRPr="00561367">
              <w:rPr>
                <w:rFonts w:asciiTheme="minorHAnsi" w:hAnsiTheme="minorHAnsi"/>
                <w:b/>
                <w:bCs/>
                <w:sz w:val="20"/>
                <w:szCs w:val="20"/>
              </w:rPr>
              <w:t>Tikai mikroelementus saturošie ML</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58</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283</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341</w:t>
            </w:r>
          </w:p>
        </w:tc>
      </w:tr>
      <w:tr w:rsidR="00616B48" w:rsidRPr="00561367" w:rsidTr="007775E0">
        <w:trPr>
          <w:trHeight w:val="295"/>
        </w:trPr>
        <w:tc>
          <w:tcPr>
            <w:tcW w:w="2977" w:type="dxa"/>
            <w:shd w:val="clear" w:color="auto" w:fill="auto"/>
          </w:tcPr>
          <w:p w:rsidR="00616B48" w:rsidRPr="00561367" w:rsidRDefault="00616B48" w:rsidP="00561367">
            <w:pPr>
              <w:widowControl w:val="0"/>
              <w:rPr>
                <w:rFonts w:asciiTheme="minorHAnsi" w:hAnsiTheme="minorHAnsi"/>
                <w:b/>
                <w:bCs/>
                <w:sz w:val="20"/>
                <w:szCs w:val="20"/>
              </w:rPr>
            </w:pPr>
            <w:r w:rsidRPr="00561367">
              <w:rPr>
                <w:rFonts w:asciiTheme="minorHAnsi" w:hAnsiTheme="minorHAnsi"/>
                <w:b/>
                <w:bCs/>
                <w:sz w:val="20"/>
                <w:szCs w:val="20"/>
              </w:rPr>
              <w:t>Kaļķošanas materiāli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52126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52126</w:t>
            </w:r>
          </w:p>
        </w:tc>
      </w:tr>
      <w:tr w:rsidR="00616B48" w:rsidRPr="00561367" w:rsidTr="007775E0">
        <w:trPr>
          <w:trHeight w:val="418"/>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t.sk. ievestie</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24800</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24800</w:t>
            </w:r>
          </w:p>
        </w:tc>
      </w:tr>
      <w:tr w:rsidR="00616B48" w:rsidRPr="00561367" w:rsidTr="007775E0">
        <w:trPr>
          <w:trHeight w:val="345"/>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        t.sk. Latvijā ražotie</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27326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27326</w:t>
            </w:r>
          </w:p>
        </w:tc>
      </w:tr>
      <w:tr w:rsidR="00616B48" w:rsidRPr="00561367" w:rsidTr="007775E0">
        <w:trPr>
          <w:trHeight w:val="640"/>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br w:type="page"/>
            </w:r>
            <w:r w:rsidRPr="00561367">
              <w:rPr>
                <w:rFonts w:asciiTheme="minorHAnsi" w:hAnsiTheme="minorHAnsi"/>
                <w:b/>
                <w:bCs/>
                <w:sz w:val="20"/>
                <w:szCs w:val="20"/>
              </w:rPr>
              <w:t xml:space="preserve">Organiskie un </w:t>
            </w:r>
            <w:proofErr w:type="spellStart"/>
            <w:r w:rsidRPr="00561367">
              <w:rPr>
                <w:rFonts w:asciiTheme="minorHAnsi" w:hAnsiTheme="minorHAnsi"/>
                <w:b/>
                <w:bCs/>
                <w:sz w:val="20"/>
                <w:szCs w:val="20"/>
              </w:rPr>
              <w:t>organoninerāli</w:t>
            </w:r>
            <w:proofErr w:type="spellEnd"/>
            <w:r w:rsidRPr="00561367">
              <w:rPr>
                <w:rFonts w:asciiTheme="minorHAnsi" w:hAnsiTheme="minorHAnsi"/>
                <w:b/>
                <w:bCs/>
                <w:sz w:val="20"/>
                <w:szCs w:val="20"/>
              </w:rPr>
              <w:t xml:space="preserve"> ML</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1875</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1875</w:t>
            </w:r>
          </w:p>
        </w:tc>
      </w:tr>
      <w:tr w:rsidR="00616B48" w:rsidRPr="00561367" w:rsidTr="007775E0">
        <w:trPr>
          <w:trHeight w:val="274"/>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ražoti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1860</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1860</w:t>
            </w:r>
          </w:p>
        </w:tc>
      </w:tr>
      <w:tr w:rsidR="00616B48" w:rsidRPr="00561367" w:rsidTr="007775E0">
        <w:trPr>
          <w:trHeight w:val="274"/>
        </w:trPr>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 xml:space="preserve">t.sk. Slieku </w:t>
            </w:r>
            <w:proofErr w:type="spellStart"/>
            <w:r w:rsidRPr="00561367">
              <w:rPr>
                <w:rFonts w:asciiTheme="minorHAnsi" w:hAnsiTheme="minorHAnsi"/>
                <w:sz w:val="20"/>
                <w:szCs w:val="20"/>
              </w:rPr>
              <w:t>biohumuss</w:t>
            </w:r>
            <w:proofErr w:type="spellEnd"/>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647</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647</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Mēslošanas līdzekļi speciālai izmantošanai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709</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709</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ražoti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Mikrobioloģiskie preparāti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188</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188</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ražoti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38</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38</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b/>
                <w:bCs/>
                <w:sz w:val="20"/>
                <w:szCs w:val="20"/>
              </w:rPr>
              <w:t>Netipiski ML un augu augšanas veic.</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ražoti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6</w:t>
            </w:r>
          </w:p>
        </w:tc>
      </w:tr>
      <w:tr w:rsidR="00616B48" w:rsidRPr="00561367" w:rsidTr="007775E0">
        <w:trPr>
          <w:trHeight w:val="355"/>
        </w:trPr>
        <w:tc>
          <w:tcPr>
            <w:tcW w:w="2977"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lastRenderedPageBreak/>
              <w:t>Kopā</w:t>
            </w:r>
          </w:p>
        </w:tc>
        <w:tc>
          <w:tcPr>
            <w:tcW w:w="1440"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t>268854</w:t>
            </w:r>
          </w:p>
        </w:tc>
        <w:tc>
          <w:tcPr>
            <w:tcW w:w="1260"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t>120118</w:t>
            </w:r>
          </w:p>
        </w:tc>
        <w:tc>
          <w:tcPr>
            <w:tcW w:w="1127"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t>87355</w:t>
            </w:r>
          </w:p>
        </w:tc>
        <w:tc>
          <w:tcPr>
            <w:tcW w:w="1184"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b/>
                <w:sz w:val="20"/>
                <w:szCs w:val="20"/>
              </w:rPr>
            </w:pPr>
            <w:r w:rsidRPr="00561367">
              <w:rPr>
                <w:rFonts w:asciiTheme="minorHAnsi" w:hAnsiTheme="minorHAnsi"/>
                <w:b/>
                <w:sz w:val="20"/>
                <w:szCs w:val="20"/>
              </w:rPr>
              <w:t>476327</w:t>
            </w:r>
          </w:p>
        </w:tc>
      </w:tr>
      <w:tr w:rsidR="00616B48" w:rsidRPr="00561367" w:rsidTr="007775E0">
        <w:tc>
          <w:tcPr>
            <w:tcW w:w="2977" w:type="dxa"/>
            <w:shd w:val="clear" w:color="auto" w:fill="auto"/>
          </w:tcPr>
          <w:p w:rsidR="00616B48" w:rsidRPr="00561367" w:rsidRDefault="00616B48" w:rsidP="00561367">
            <w:pPr>
              <w:widowControl w:val="0"/>
              <w:rPr>
                <w:rFonts w:asciiTheme="minorHAnsi" w:hAnsiTheme="minorHAnsi"/>
                <w:sz w:val="20"/>
                <w:szCs w:val="20"/>
              </w:rPr>
            </w:pPr>
            <w:r w:rsidRPr="00561367">
              <w:rPr>
                <w:rFonts w:asciiTheme="minorHAnsi" w:hAnsiTheme="minorHAnsi"/>
                <w:sz w:val="20"/>
                <w:szCs w:val="20"/>
              </w:rPr>
              <w:t>t.sk. Latvijā ražoti</w:t>
            </w:r>
          </w:p>
        </w:tc>
        <w:tc>
          <w:tcPr>
            <w:tcW w:w="144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29230</w:t>
            </w:r>
          </w:p>
        </w:tc>
        <w:tc>
          <w:tcPr>
            <w:tcW w:w="1260"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27"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184"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c>
          <w:tcPr>
            <w:tcW w:w="1018" w:type="dxa"/>
            <w:shd w:val="clear" w:color="auto" w:fill="auto"/>
          </w:tcPr>
          <w:p w:rsidR="00616B48" w:rsidRPr="00561367" w:rsidRDefault="00616B48" w:rsidP="00561367">
            <w:pPr>
              <w:widowControl w:val="0"/>
              <w:jc w:val="right"/>
              <w:rPr>
                <w:rFonts w:asciiTheme="minorHAnsi" w:hAnsiTheme="minorHAnsi"/>
                <w:sz w:val="20"/>
                <w:szCs w:val="20"/>
              </w:rPr>
            </w:pPr>
            <w:r w:rsidRPr="00561367">
              <w:rPr>
                <w:rFonts w:asciiTheme="minorHAnsi" w:hAnsiTheme="minorHAnsi"/>
                <w:sz w:val="20"/>
                <w:szCs w:val="20"/>
              </w:rPr>
              <w:t>-</w:t>
            </w:r>
          </w:p>
        </w:tc>
      </w:tr>
    </w:tbl>
    <w:p w:rsidR="00616B48" w:rsidRPr="007775E0" w:rsidRDefault="00616B48" w:rsidP="007775E0">
      <w:pPr>
        <w:shd w:val="clear" w:color="auto" w:fill="DAEEF3" w:themeFill="accent5" w:themeFillTint="33"/>
        <w:jc w:val="both"/>
        <w:rPr>
          <w:rFonts w:asciiTheme="minorHAnsi" w:hAnsiTheme="minorHAnsi"/>
        </w:rPr>
      </w:pPr>
      <w:r w:rsidRPr="00561367">
        <w:rPr>
          <w:rFonts w:asciiTheme="minorHAnsi" w:hAnsiTheme="minorHAnsi"/>
        </w:rPr>
        <w:t>*Rezultāti noapaļoti uz veseliem skaitļiem.</w:t>
      </w:r>
    </w:p>
    <w:p w:rsidR="00616B48" w:rsidRPr="00862966" w:rsidRDefault="00616B48" w:rsidP="00616B48">
      <w:pPr>
        <w:jc w:val="center"/>
        <w:rPr>
          <w:b/>
        </w:rPr>
      </w:pPr>
    </w:p>
    <w:p w:rsidR="00616B48" w:rsidRDefault="00616B48" w:rsidP="00605991">
      <w:pPr>
        <w:widowControl w:val="0"/>
        <w:spacing w:before="120"/>
        <w:jc w:val="both"/>
        <w:rPr>
          <w:rFonts w:asciiTheme="minorHAnsi" w:hAnsiTheme="minorHAnsi"/>
        </w:rPr>
      </w:pPr>
      <w:r w:rsidRPr="00605991">
        <w:rPr>
          <w:rFonts w:asciiTheme="minorHAnsi" w:hAnsiTheme="minorHAnsi"/>
        </w:rPr>
        <w:t>Latvijā no apritē esošajiem mēslošanas līdzekļiem lielāko apjomu ve</w:t>
      </w:r>
      <w:smartTag w:uri="urn:schemas-microsoft-com:office:smarttags" w:element="PersonName">
        <w:r w:rsidRPr="00605991">
          <w:rPr>
            <w:rFonts w:asciiTheme="minorHAnsi" w:hAnsiTheme="minorHAnsi"/>
          </w:rPr>
          <w:t>id</w:t>
        </w:r>
      </w:smartTag>
      <w:r w:rsidRPr="00605991">
        <w:rPr>
          <w:rFonts w:asciiTheme="minorHAnsi" w:hAnsiTheme="minorHAnsi"/>
        </w:rPr>
        <w:t>o kompleksie (cietie) minerālmēsli – 252,3 tūkstoši t jeb 53 % no kopējā ML apjoma. Kaut arī ar 2010.gada 1.jūliju ir stingrākas prasības amonija nitrāta (AN) tirdzniecībai, visizplatītākais mēslošanas līdzeklis ir amonija nitrāts – 103,2 tūkstoši t, kas ir 64 % no apritē esošajiem slāpekļa minerālmēsliem un 22 % no visiem ML. Tas ska</w:t>
      </w:r>
      <w:smartTag w:uri="urn:schemas-microsoft-com:office:smarttags" w:element="PersonName">
        <w:r w:rsidRPr="00605991">
          <w:rPr>
            <w:rFonts w:asciiTheme="minorHAnsi" w:hAnsiTheme="minorHAnsi"/>
          </w:rPr>
          <w:t>id</w:t>
        </w:r>
      </w:smartTag>
      <w:r w:rsidRPr="00605991">
        <w:rPr>
          <w:rFonts w:asciiTheme="minorHAnsi" w:hAnsiTheme="minorHAnsi"/>
        </w:rPr>
        <w:t>rojams ar slāpekļa minerālmēslu augsto efektivitāti un apstākļos, kad minerālmēsli ir ļoti dārgi, lauksaimnieki, pirmkārt iegādājas amonija nitrātu.</w:t>
      </w:r>
    </w:p>
    <w:p w:rsidR="00605991" w:rsidRPr="00561367" w:rsidRDefault="00605991" w:rsidP="00605991">
      <w:pPr>
        <w:widowControl w:val="0"/>
        <w:spacing w:before="120"/>
        <w:jc w:val="both"/>
        <w:rPr>
          <w:rFonts w:asciiTheme="minorHAnsi" w:hAnsiTheme="minorHAnsi"/>
          <w:sz w:val="4"/>
          <w:szCs w:val="4"/>
        </w:rPr>
      </w:pPr>
    </w:p>
    <w:p w:rsidR="00616B48" w:rsidRDefault="00616B48" w:rsidP="00605991">
      <w:pPr>
        <w:widowControl w:val="0"/>
        <w:shd w:val="clear" w:color="auto" w:fill="EAF1DD" w:themeFill="accent3" w:themeFillTint="33"/>
        <w:spacing w:before="120"/>
        <w:jc w:val="both"/>
        <w:rPr>
          <w:rFonts w:asciiTheme="minorHAnsi" w:hAnsiTheme="minorHAnsi"/>
          <w:sz w:val="28"/>
        </w:rPr>
      </w:pPr>
      <w:r w:rsidRPr="00605991">
        <w:rPr>
          <w:rFonts w:asciiTheme="minorHAnsi" w:hAnsiTheme="minorHAnsi"/>
          <w:sz w:val="28"/>
        </w:rPr>
        <w:t>Normatīvo aktu ievērošanas uzraudzība un kontrole</w:t>
      </w:r>
    </w:p>
    <w:p w:rsidR="00605991" w:rsidRPr="00561367" w:rsidRDefault="00605991" w:rsidP="00605991">
      <w:pPr>
        <w:widowControl w:val="0"/>
        <w:spacing w:before="120"/>
        <w:jc w:val="both"/>
        <w:rPr>
          <w:rFonts w:asciiTheme="minorHAnsi" w:hAnsiTheme="minorHAnsi"/>
          <w:sz w:val="4"/>
          <w:szCs w:val="4"/>
        </w:rPr>
      </w:pPr>
    </w:p>
    <w:p w:rsidR="00616B48" w:rsidRPr="00605991" w:rsidRDefault="00616B48" w:rsidP="00605991">
      <w:pPr>
        <w:widowControl w:val="0"/>
        <w:shd w:val="clear" w:color="auto" w:fill="EAF1DD" w:themeFill="accent3" w:themeFillTint="33"/>
        <w:spacing w:before="120"/>
        <w:jc w:val="both"/>
        <w:rPr>
          <w:rFonts w:asciiTheme="minorHAnsi" w:hAnsiTheme="minorHAnsi"/>
          <w:sz w:val="28"/>
        </w:rPr>
      </w:pPr>
      <w:r w:rsidRPr="00605991">
        <w:rPr>
          <w:rFonts w:asciiTheme="minorHAnsi" w:hAnsiTheme="minorHAnsi"/>
          <w:sz w:val="28"/>
        </w:rPr>
        <w:t>Veikto pārbaužu skaits, to veidi un rezultāti, analīze, secinājumi, prognozes. Par normatīvo aktu prasību pārkāpumiem piemērotās sankcijas, administratīvo pārkāpumu lietās uzliktie naudas sodi un pārsūdzētie lēmumi, analīze, secinājumi, prognozes.</w:t>
      </w:r>
    </w:p>
    <w:p w:rsidR="00616B48" w:rsidRPr="00605991" w:rsidRDefault="00616B48" w:rsidP="00605991">
      <w:pPr>
        <w:widowControl w:val="0"/>
        <w:spacing w:before="120"/>
        <w:jc w:val="both"/>
        <w:rPr>
          <w:rFonts w:asciiTheme="minorHAnsi" w:hAnsiTheme="minorHAnsi"/>
        </w:rPr>
      </w:pPr>
      <w:r w:rsidRPr="00605991">
        <w:rPr>
          <w:rFonts w:asciiTheme="minorHAnsi" w:hAnsiTheme="minorHAnsi"/>
        </w:rPr>
        <w:t xml:space="preserve">Veicot mēslošanas līdzekļu aprites uzraudzību </w:t>
      </w:r>
      <w:r w:rsidR="004B6E67">
        <w:rPr>
          <w:rFonts w:asciiTheme="minorHAnsi" w:hAnsiTheme="minorHAnsi"/>
        </w:rPr>
        <w:t>VAAD</w:t>
      </w:r>
      <w:r w:rsidRPr="00605991">
        <w:rPr>
          <w:rFonts w:asciiTheme="minorHAnsi" w:hAnsiTheme="minorHAnsi"/>
        </w:rPr>
        <w:t>:</w:t>
      </w:r>
    </w:p>
    <w:p w:rsidR="00616B48" w:rsidRPr="00605991" w:rsidRDefault="00616B48" w:rsidP="001234C1">
      <w:pPr>
        <w:pStyle w:val="ListParagraph"/>
        <w:widowControl w:val="0"/>
        <w:numPr>
          <w:ilvl w:val="0"/>
          <w:numId w:val="13"/>
        </w:numPr>
        <w:spacing w:before="120"/>
        <w:jc w:val="both"/>
        <w:rPr>
          <w:rFonts w:asciiTheme="minorHAnsi" w:hAnsiTheme="minorHAnsi"/>
        </w:rPr>
      </w:pPr>
      <w:r w:rsidRPr="00605991">
        <w:rPr>
          <w:rFonts w:asciiTheme="minorHAnsi" w:hAnsiTheme="minorHAnsi"/>
        </w:rPr>
        <w:t>lai pārbaudītu ML kvalitātes atbilstību normatīvo aktu prasībām, ņem ML kontroles paraugus, nosūta testēšanai akreditētai laboratorijai un, pamatojoties uz testēšanas rezultātiem, novērtē ML atbilstību kvalitātes prasībām;</w:t>
      </w:r>
    </w:p>
    <w:p w:rsidR="00616B48" w:rsidRPr="00605991" w:rsidRDefault="00616B48" w:rsidP="001234C1">
      <w:pPr>
        <w:pStyle w:val="ListParagraph"/>
        <w:widowControl w:val="0"/>
        <w:numPr>
          <w:ilvl w:val="0"/>
          <w:numId w:val="13"/>
        </w:numPr>
        <w:spacing w:before="120"/>
        <w:jc w:val="both"/>
        <w:rPr>
          <w:rFonts w:asciiTheme="minorHAnsi" w:hAnsiTheme="minorHAnsi"/>
        </w:rPr>
      </w:pPr>
      <w:r w:rsidRPr="00605991">
        <w:rPr>
          <w:rFonts w:asciiTheme="minorHAnsi" w:hAnsiTheme="minorHAnsi"/>
        </w:rPr>
        <w:t>pārbauda ML aprites (ražošanas, uzglabāšanas un tirdzniecības) vietas, lai pārliecinātos, vai apritē atrodas reģistrēti ML, ar atļaujām vai ar EK marķējumu.</w:t>
      </w:r>
    </w:p>
    <w:p w:rsidR="00605991" w:rsidRDefault="00605991" w:rsidP="00616B48">
      <w:pPr>
        <w:jc w:val="center"/>
        <w:rPr>
          <w:b/>
        </w:rPr>
      </w:pPr>
    </w:p>
    <w:p w:rsidR="00616B48" w:rsidRPr="00605991" w:rsidRDefault="00616B48" w:rsidP="00605991">
      <w:pPr>
        <w:shd w:val="clear" w:color="auto" w:fill="DAEEF3" w:themeFill="accent5" w:themeFillTint="33"/>
        <w:jc w:val="both"/>
        <w:rPr>
          <w:rFonts w:asciiTheme="minorHAnsi" w:hAnsiTheme="minorHAnsi"/>
        </w:rPr>
      </w:pPr>
      <w:r w:rsidRPr="00605991">
        <w:rPr>
          <w:rFonts w:asciiTheme="minorHAnsi" w:hAnsiTheme="minorHAnsi"/>
        </w:rPr>
        <w:t>Mēslošanas līdzekļu aprites pārbaužu rezultāti 2012.gadā</w:t>
      </w:r>
    </w:p>
    <w:p w:rsidR="00616B48" w:rsidRPr="001B6E62" w:rsidRDefault="00616B48" w:rsidP="00616B48">
      <w:pPr>
        <w:jc w:val="center"/>
        <w:rPr>
          <w:b/>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5284"/>
        <w:gridCol w:w="1415"/>
        <w:gridCol w:w="1078"/>
        <w:gridCol w:w="1226"/>
      </w:tblGrid>
      <w:tr w:rsidR="00616B48" w:rsidRPr="00561367" w:rsidTr="00605991">
        <w:tc>
          <w:tcPr>
            <w:tcW w:w="5284" w:type="dxa"/>
            <w:vMerge w:val="restart"/>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Darbības rezultatīvie rādītāji</w:t>
            </w:r>
          </w:p>
        </w:tc>
        <w:tc>
          <w:tcPr>
            <w:tcW w:w="1415" w:type="dxa"/>
            <w:vMerge w:val="restart"/>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smartTag w:uri="schemas-tilde-lv/tildestengine" w:element="veidnes">
              <w:smartTagPr>
                <w:attr w:name="id" w:val="-1"/>
                <w:attr w:name="baseform" w:val="Plāns"/>
                <w:attr w:name="text" w:val="Plāns"/>
              </w:smartTagPr>
              <w:r w:rsidRPr="00561367">
                <w:rPr>
                  <w:rFonts w:asciiTheme="minorHAnsi" w:hAnsiTheme="minorHAnsi"/>
                  <w:b/>
                  <w:sz w:val="20"/>
                  <w:szCs w:val="20"/>
                </w:rPr>
                <w:t>Plāns</w:t>
              </w:r>
            </w:smartTag>
            <w:r w:rsidRPr="00561367">
              <w:rPr>
                <w:rFonts w:asciiTheme="minorHAnsi" w:hAnsiTheme="minorHAnsi"/>
                <w:b/>
                <w:sz w:val="20"/>
                <w:szCs w:val="20"/>
              </w:rPr>
              <w:t>,</w:t>
            </w:r>
          </w:p>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2304" w:type="dxa"/>
            <w:gridSpan w:val="2"/>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Izpilde,</w:t>
            </w:r>
          </w:p>
        </w:tc>
      </w:tr>
      <w:tr w:rsidR="00616B48" w:rsidRPr="00561367" w:rsidTr="00605991">
        <w:tc>
          <w:tcPr>
            <w:tcW w:w="5284" w:type="dxa"/>
            <w:vMerge/>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p>
        </w:tc>
        <w:tc>
          <w:tcPr>
            <w:tcW w:w="1415" w:type="dxa"/>
            <w:vMerge/>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p>
        </w:tc>
        <w:tc>
          <w:tcPr>
            <w:tcW w:w="1078"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1226"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r>
      <w:tr w:rsidR="00616B48" w:rsidRPr="00561367" w:rsidTr="00605991">
        <w:trPr>
          <w:trHeight w:val="567"/>
        </w:trPr>
        <w:tc>
          <w:tcPr>
            <w:tcW w:w="5284"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Mēslošanas līdzekļu aprites vietu kontrole (pārbaužu skaits)</w:t>
            </w:r>
          </w:p>
        </w:tc>
        <w:tc>
          <w:tcPr>
            <w:tcW w:w="1415"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150</w:t>
            </w:r>
          </w:p>
        </w:tc>
        <w:tc>
          <w:tcPr>
            <w:tcW w:w="1078"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153</w:t>
            </w:r>
          </w:p>
        </w:tc>
        <w:tc>
          <w:tcPr>
            <w:tcW w:w="1226"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102</w:t>
            </w:r>
          </w:p>
        </w:tc>
      </w:tr>
      <w:tr w:rsidR="00616B48" w:rsidRPr="00561367" w:rsidTr="00605991">
        <w:tc>
          <w:tcPr>
            <w:tcW w:w="5284"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Mēslošanas līdzekļu kvalitātes laboratoriskā testēšana (paraugu skaits)</w:t>
            </w:r>
          </w:p>
        </w:tc>
        <w:tc>
          <w:tcPr>
            <w:tcW w:w="1415"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80</w:t>
            </w:r>
          </w:p>
        </w:tc>
        <w:tc>
          <w:tcPr>
            <w:tcW w:w="1078"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80</w:t>
            </w:r>
          </w:p>
        </w:tc>
        <w:tc>
          <w:tcPr>
            <w:tcW w:w="1226"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100</w:t>
            </w:r>
          </w:p>
        </w:tc>
      </w:tr>
      <w:tr w:rsidR="00616B48" w:rsidRPr="00561367" w:rsidTr="00605991">
        <w:tc>
          <w:tcPr>
            <w:tcW w:w="5284"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Slēdzieni par mēslošanas līdzekļu kvalitātes atbilstību</w:t>
            </w:r>
          </w:p>
        </w:tc>
        <w:tc>
          <w:tcPr>
            <w:tcW w:w="1415"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80</w:t>
            </w:r>
          </w:p>
        </w:tc>
        <w:tc>
          <w:tcPr>
            <w:tcW w:w="1078"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93</w:t>
            </w:r>
          </w:p>
        </w:tc>
        <w:tc>
          <w:tcPr>
            <w:tcW w:w="1226" w:type="dxa"/>
            <w:shd w:val="clear" w:color="auto" w:fill="auto"/>
          </w:tcPr>
          <w:p w:rsidR="00616B48" w:rsidRPr="00561367" w:rsidRDefault="00616B48" w:rsidP="00605991">
            <w:pPr>
              <w:widowControl w:val="0"/>
              <w:spacing w:line="285" w:lineRule="auto"/>
              <w:jc w:val="right"/>
              <w:rPr>
                <w:rFonts w:asciiTheme="minorHAnsi" w:hAnsiTheme="minorHAnsi"/>
                <w:sz w:val="20"/>
                <w:szCs w:val="20"/>
              </w:rPr>
            </w:pPr>
            <w:r w:rsidRPr="00561367">
              <w:rPr>
                <w:rFonts w:asciiTheme="minorHAnsi" w:hAnsiTheme="minorHAnsi"/>
                <w:sz w:val="20"/>
                <w:szCs w:val="20"/>
              </w:rPr>
              <w:t>116</w:t>
            </w:r>
          </w:p>
        </w:tc>
      </w:tr>
    </w:tbl>
    <w:p w:rsidR="00616B48" w:rsidRPr="00180A2C" w:rsidRDefault="00616B48" w:rsidP="00616B48"/>
    <w:p w:rsidR="00616B48" w:rsidRPr="00605991" w:rsidRDefault="00616B48" w:rsidP="00605991">
      <w:pPr>
        <w:widowControl w:val="0"/>
        <w:spacing w:before="120"/>
        <w:jc w:val="both"/>
        <w:rPr>
          <w:rFonts w:asciiTheme="minorHAnsi" w:hAnsiTheme="minorHAnsi"/>
        </w:rPr>
      </w:pPr>
      <w:r w:rsidRPr="00605991">
        <w:rPr>
          <w:rFonts w:asciiTheme="minorHAnsi" w:hAnsiTheme="minorHAnsi"/>
        </w:rPr>
        <w:t>Analizējot 4.tabulas datus, redzams, ka tirdzniecības vietu pārbaudes izpildītas 102 % apjomā (par 3 pārbaudēm vairāk kā plānots), ML kontroles paraugi paņemti plānotajā apjomā, bet kvalitātes atbilstības slēdzieni sagatavoti 116 % apmērā. Sagatavoto slēdzienu skaits tik liels ir tāpēc, ka saskaņā ar MK noteikumiem, ja pirmajā kontroles paraugā kāds no rādītājiem neatbilst normatīvā akta prasībām, testēšanai uz akreditētu laboratoriju jāsūta otrs paraugs, kurā pārbauda neatbilstošo rādītāju.</w:t>
      </w:r>
    </w:p>
    <w:p w:rsidR="00616B48" w:rsidRDefault="00605991" w:rsidP="00605991">
      <w:pPr>
        <w:widowControl w:val="0"/>
        <w:spacing w:before="120"/>
        <w:jc w:val="both"/>
        <w:rPr>
          <w:rFonts w:asciiTheme="minorHAnsi" w:hAnsiTheme="minorHAnsi"/>
        </w:rPr>
      </w:pPr>
      <w:r>
        <w:rPr>
          <w:rFonts w:asciiTheme="minorHAnsi" w:hAnsiTheme="minorHAnsi"/>
        </w:rPr>
        <w:t>T</w:t>
      </w:r>
      <w:r w:rsidR="00616B48" w:rsidRPr="00605991">
        <w:rPr>
          <w:rFonts w:asciiTheme="minorHAnsi" w:hAnsiTheme="minorHAnsi"/>
        </w:rPr>
        <w:t>abulā sniegti dati par reģistrēto un ar atļaujām ievesto ML un ML ar EK marķējumu kvalitātes atbilstību.</w:t>
      </w:r>
    </w:p>
    <w:p w:rsidR="00561367" w:rsidRPr="00561367" w:rsidRDefault="00561367" w:rsidP="00605991">
      <w:pPr>
        <w:widowControl w:val="0"/>
        <w:spacing w:before="120"/>
        <w:jc w:val="both"/>
        <w:rPr>
          <w:rFonts w:asciiTheme="minorHAnsi" w:hAnsiTheme="minorHAnsi"/>
          <w:sz w:val="4"/>
          <w:szCs w:val="4"/>
        </w:rPr>
      </w:pPr>
    </w:p>
    <w:p w:rsidR="00616B48" w:rsidRPr="00605991" w:rsidRDefault="00616B48" w:rsidP="00605991">
      <w:pPr>
        <w:shd w:val="clear" w:color="auto" w:fill="DAEEF3" w:themeFill="accent5" w:themeFillTint="33"/>
        <w:jc w:val="both"/>
        <w:rPr>
          <w:rFonts w:asciiTheme="minorHAnsi" w:hAnsiTheme="minorHAnsi"/>
        </w:rPr>
      </w:pPr>
      <w:r w:rsidRPr="00605991">
        <w:rPr>
          <w:rFonts w:asciiTheme="minorHAnsi" w:hAnsiTheme="minorHAnsi"/>
        </w:rPr>
        <w:t>Mēslošanas līdzekļu kvalitātes atbilstība 2012.gadā</w:t>
      </w:r>
    </w:p>
    <w:p w:rsidR="00616B48" w:rsidRPr="0096493F" w:rsidRDefault="00616B48" w:rsidP="00616B48">
      <w:pPr>
        <w:ind w:firstLine="720"/>
        <w:jc w:val="center"/>
        <w:rPr>
          <w:b/>
          <w:highlight w:val="lightGray"/>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4068"/>
        <w:gridCol w:w="1260"/>
        <w:gridCol w:w="1071"/>
        <w:gridCol w:w="1269"/>
        <w:gridCol w:w="1335"/>
      </w:tblGrid>
      <w:tr w:rsidR="00616B48" w:rsidRPr="00561367" w:rsidTr="00605991">
        <w:tc>
          <w:tcPr>
            <w:tcW w:w="4068" w:type="dxa"/>
            <w:vMerge w:val="restart"/>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Mēslošanas līdzekļu grupa</w:t>
            </w:r>
          </w:p>
        </w:tc>
        <w:tc>
          <w:tcPr>
            <w:tcW w:w="2331" w:type="dxa"/>
            <w:gridSpan w:val="2"/>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2011.gads</w:t>
            </w:r>
          </w:p>
        </w:tc>
        <w:tc>
          <w:tcPr>
            <w:tcW w:w="2604" w:type="dxa"/>
            <w:gridSpan w:val="2"/>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2012</w:t>
            </w:r>
          </w:p>
        </w:tc>
      </w:tr>
      <w:tr w:rsidR="00616B48" w:rsidRPr="00561367" w:rsidTr="00605991">
        <w:tc>
          <w:tcPr>
            <w:tcW w:w="4068" w:type="dxa"/>
            <w:vMerge/>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b/>
                <w:sz w:val="20"/>
                <w:szCs w:val="20"/>
              </w:rPr>
            </w:pPr>
            <w:r w:rsidRPr="00561367">
              <w:rPr>
                <w:rFonts w:asciiTheme="minorHAnsi" w:hAnsiTheme="minorHAnsi"/>
                <w:b/>
                <w:sz w:val="20"/>
                <w:szCs w:val="20"/>
              </w:rPr>
              <w:t>EK ML</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24</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39</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t.sk., atbilst</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17</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71</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33</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85</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t.sk., neatbilst</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7</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29</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15</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b/>
                <w:sz w:val="20"/>
                <w:szCs w:val="20"/>
              </w:rPr>
            </w:pPr>
            <w:r w:rsidRPr="00561367">
              <w:rPr>
                <w:rFonts w:asciiTheme="minorHAnsi" w:hAnsiTheme="minorHAnsi"/>
                <w:b/>
                <w:sz w:val="20"/>
                <w:szCs w:val="20"/>
              </w:rPr>
              <w:t>Reģistrētie un ar atļaujām ML</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56</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41</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t.sk., atbilst</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55</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98</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37</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90</w:t>
            </w:r>
          </w:p>
        </w:tc>
      </w:tr>
      <w:tr w:rsidR="00616B48" w:rsidRPr="00561367" w:rsidTr="00605991">
        <w:tc>
          <w:tcPr>
            <w:tcW w:w="4068" w:type="dxa"/>
            <w:shd w:val="clear" w:color="auto" w:fill="auto"/>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t.sk., neatbilst</w:t>
            </w:r>
          </w:p>
        </w:tc>
        <w:tc>
          <w:tcPr>
            <w:tcW w:w="1260"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w:t>
            </w:r>
          </w:p>
        </w:tc>
        <w:tc>
          <w:tcPr>
            <w:tcW w:w="1071"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1269"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4</w:t>
            </w:r>
          </w:p>
        </w:tc>
        <w:tc>
          <w:tcPr>
            <w:tcW w:w="1335" w:type="dxa"/>
            <w:shd w:val="clear" w:color="auto" w:fill="auto"/>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w:t>
            </w:r>
          </w:p>
        </w:tc>
      </w:tr>
    </w:tbl>
    <w:p w:rsidR="00616B48" w:rsidRPr="00561367" w:rsidRDefault="00616B48" w:rsidP="00616B48">
      <w:pPr>
        <w:ind w:firstLine="720"/>
        <w:jc w:val="center"/>
        <w:rPr>
          <w:sz w:val="4"/>
          <w:szCs w:val="4"/>
        </w:rPr>
      </w:pPr>
    </w:p>
    <w:p w:rsidR="00616B48" w:rsidRDefault="00616B48" w:rsidP="00605991">
      <w:pPr>
        <w:widowControl w:val="0"/>
        <w:spacing w:before="120"/>
        <w:jc w:val="both"/>
        <w:rPr>
          <w:rFonts w:asciiTheme="minorHAnsi" w:hAnsiTheme="minorHAnsi"/>
        </w:rPr>
      </w:pPr>
      <w:r w:rsidRPr="00605991">
        <w:rPr>
          <w:rFonts w:asciiTheme="minorHAnsi" w:hAnsiTheme="minorHAnsi"/>
        </w:rPr>
        <w:t>Kā redzams, pārskata gadā tāpat kā 2011.gadā ML ar EK marķējumu kvalitātes atbilstība regulas Nr.2003/2003 prasībām ir uzlabojusies – attiecīgi pa gadiem 29 un 15 % pārbaudīto EK ML ir ar neatbilstošu kvalitāti. Reģistrēto un ar atļaujām ievesto ML kvalitāte ir vērtējama kā laba, tomēr ir pasliktinājusies, jo 2011.gadā prasībām neatbilda 2% no reģistrētajiem un ar atļaujām ML, bet 2012.gadā –10 %.</w:t>
      </w:r>
    </w:p>
    <w:p w:rsidR="00605991" w:rsidRPr="00605991" w:rsidRDefault="00605991" w:rsidP="00605991">
      <w:pPr>
        <w:widowControl w:val="0"/>
        <w:spacing w:before="120"/>
        <w:jc w:val="both"/>
        <w:rPr>
          <w:rFonts w:asciiTheme="minorHAnsi" w:hAnsiTheme="minorHAnsi"/>
        </w:rPr>
      </w:pPr>
    </w:p>
    <w:p w:rsidR="00616B48" w:rsidRPr="00605991" w:rsidRDefault="00616B48" w:rsidP="00605991">
      <w:pPr>
        <w:shd w:val="clear" w:color="auto" w:fill="DAEEF3" w:themeFill="accent5" w:themeFillTint="33"/>
        <w:jc w:val="both"/>
        <w:rPr>
          <w:rFonts w:asciiTheme="minorHAnsi" w:hAnsiTheme="minorHAnsi"/>
        </w:rPr>
      </w:pPr>
      <w:r w:rsidRPr="00605991">
        <w:rPr>
          <w:rFonts w:asciiTheme="minorHAnsi" w:hAnsiTheme="minorHAnsi"/>
        </w:rPr>
        <w:t>Reģionālo nodaļu veiktās mēslošanas līdzekļu aprites vietu pārbaudes 2012.gadā</w:t>
      </w:r>
    </w:p>
    <w:p w:rsidR="00616B48" w:rsidRPr="009A3187" w:rsidRDefault="00616B48" w:rsidP="00616B48">
      <w:pPr>
        <w:ind w:firstLine="720"/>
        <w:jc w:val="center"/>
        <w:rPr>
          <w:b/>
          <w:sz w:val="16"/>
          <w:szCs w:val="16"/>
        </w:rPr>
      </w:pPr>
    </w:p>
    <w:tbl>
      <w:tblPr>
        <w:tblW w:w="8645" w:type="dxa"/>
        <w:tblInd w:w="103" w:type="dxa"/>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000" w:firstRow="0" w:lastRow="0" w:firstColumn="0" w:lastColumn="0" w:noHBand="0" w:noVBand="0"/>
      </w:tblPr>
      <w:tblGrid>
        <w:gridCol w:w="3425"/>
        <w:gridCol w:w="900"/>
        <w:gridCol w:w="900"/>
        <w:gridCol w:w="900"/>
        <w:gridCol w:w="1080"/>
        <w:gridCol w:w="1440"/>
      </w:tblGrid>
      <w:tr w:rsidR="00616B48" w:rsidRPr="00561367" w:rsidTr="00605991">
        <w:trPr>
          <w:trHeight w:val="487"/>
        </w:trPr>
        <w:tc>
          <w:tcPr>
            <w:tcW w:w="3425" w:type="dxa"/>
            <w:vMerge w:val="restart"/>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Reģionālā nodaļa</w:t>
            </w:r>
          </w:p>
        </w:tc>
        <w:tc>
          <w:tcPr>
            <w:tcW w:w="1800" w:type="dxa"/>
            <w:gridSpan w:val="2"/>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Pārbaudes</w:t>
            </w:r>
          </w:p>
        </w:tc>
        <w:tc>
          <w:tcPr>
            <w:tcW w:w="1980" w:type="dxa"/>
            <w:gridSpan w:val="2"/>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Ierosinātās</w:t>
            </w:r>
          </w:p>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APK lietas</w:t>
            </w:r>
          </w:p>
        </w:tc>
        <w:tc>
          <w:tcPr>
            <w:tcW w:w="144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APK no pārbaudēm</w:t>
            </w:r>
          </w:p>
        </w:tc>
      </w:tr>
      <w:tr w:rsidR="00616B48" w:rsidRPr="00561367" w:rsidTr="00605991">
        <w:trPr>
          <w:trHeight w:val="270"/>
        </w:trPr>
        <w:tc>
          <w:tcPr>
            <w:tcW w:w="3425" w:type="dxa"/>
            <w:vMerge/>
          </w:tcPr>
          <w:p w:rsidR="00616B48" w:rsidRPr="00561367" w:rsidRDefault="00616B48" w:rsidP="00605991">
            <w:pPr>
              <w:widowControl w:val="0"/>
              <w:spacing w:line="285" w:lineRule="auto"/>
              <w:jc w:val="center"/>
              <w:rPr>
                <w:rFonts w:asciiTheme="minorHAnsi" w:hAnsiTheme="minorHAnsi"/>
                <w:b/>
                <w:sz w:val="20"/>
                <w:szCs w:val="20"/>
              </w:rPr>
            </w:pPr>
          </w:p>
        </w:tc>
        <w:tc>
          <w:tcPr>
            <w:tcW w:w="90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90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90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skaits</w:t>
            </w:r>
          </w:p>
        </w:tc>
        <w:tc>
          <w:tcPr>
            <w:tcW w:w="108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c>
          <w:tcPr>
            <w:tcW w:w="1440" w:type="dxa"/>
          </w:tcPr>
          <w:p w:rsidR="00616B48" w:rsidRPr="00561367" w:rsidRDefault="00616B48" w:rsidP="00605991">
            <w:pPr>
              <w:widowControl w:val="0"/>
              <w:spacing w:line="285" w:lineRule="auto"/>
              <w:jc w:val="center"/>
              <w:rPr>
                <w:rFonts w:asciiTheme="minorHAnsi" w:hAnsiTheme="minorHAnsi"/>
                <w:b/>
                <w:sz w:val="20"/>
                <w:szCs w:val="20"/>
              </w:rPr>
            </w:pPr>
            <w:r w:rsidRPr="00561367">
              <w:rPr>
                <w:rFonts w:asciiTheme="minorHAnsi" w:hAnsiTheme="minorHAnsi"/>
                <w:b/>
                <w:sz w:val="20"/>
                <w:szCs w:val="20"/>
              </w:rPr>
              <w:t>%</w:t>
            </w:r>
          </w:p>
        </w:tc>
      </w:tr>
      <w:tr w:rsidR="00616B48" w:rsidRPr="00561367" w:rsidTr="00605991">
        <w:trPr>
          <w:trHeight w:val="270"/>
        </w:trPr>
        <w:tc>
          <w:tcPr>
            <w:tcW w:w="3425" w:type="dxa"/>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Rīgas un vispārējās uzraudzības</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34</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22</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6</w:t>
            </w:r>
          </w:p>
        </w:tc>
      </w:tr>
      <w:tr w:rsidR="00616B48" w:rsidRPr="00561367" w:rsidTr="00605991">
        <w:trPr>
          <w:trHeight w:val="270"/>
        </w:trPr>
        <w:tc>
          <w:tcPr>
            <w:tcW w:w="3425" w:type="dxa"/>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Zemgale</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33</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22</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5</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50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15</w:t>
            </w:r>
          </w:p>
        </w:tc>
      </w:tr>
      <w:tr w:rsidR="00616B48" w:rsidRPr="00561367" w:rsidTr="00605991">
        <w:trPr>
          <w:trHeight w:val="270"/>
        </w:trPr>
        <w:tc>
          <w:tcPr>
            <w:tcW w:w="3425" w:type="dxa"/>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Kurzeme</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28</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18</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r>
      <w:tr w:rsidR="00616B48" w:rsidRPr="00561367" w:rsidTr="00605991">
        <w:trPr>
          <w:trHeight w:val="270"/>
        </w:trPr>
        <w:tc>
          <w:tcPr>
            <w:tcW w:w="3425" w:type="dxa"/>
          </w:tcPr>
          <w:p w:rsidR="00616B48" w:rsidRPr="00561367" w:rsidRDefault="00616B48" w:rsidP="00605991">
            <w:pPr>
              <w:widowControl w:val="0"/>
              <w:spacing w:line="285" w:lineRule="auto"/>
              <w:rPr>
                <w:rFonts w:asciiTheme="minorHAnsi" w:hAnsiTheme="minorHAnsi"/>
                <w:sz w:val="20"/>
                <w:szCs w:val="20"/>
              </w:rPr>
            </w:pPr>
            <w:smartTag w:uri="urn:schemas-microsoft-com:office:smarttags" w:element="PersonName">
              <w:r w:rsidRPr="00561367">
                <w:rPr>
                  <w:rFonts w:asciiTheme="minorHAnsi" w:hAnsiTheme="minorHAnsi"/>
                  <w:sz w:val="20"/>
                  <w:szCs w:val="20"/>
                </w:rPr>
                <w:t>V</w:t>
              </w:r>
              <w:smartTag w:uri="urn:schemas-microsoft-com:office:smarttags" w:element="PersonName">
                <w:r w:rsidRPr="00561367">
                  <w:rPr>
                    <w:rFonts w:asciiTheme="minorHAnsi" w:hAnsiTheme="minorHAnsi"/>
                    <w:sz w:val="20"/>
                    <w:szCs w:val="20"/>
                  </w:rPr>
                  <w:t>id</w:t>
                </w:r>
              </w:smartTag>
              <w:r w:rsidRPr="00561367">
                <w:rPr>
                  <w:rFonts w:asciiTheme="minorHAnsi" w:hAnsiTheme="minorHAnsi"/>
                  <w:sz w:val="20"/>
                  <w:szCs w:val="20"/>
                </w:rPr>
                <w:t>zeme</w:t>
              </w:r>
            </w:smartTag>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26</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17</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0</w:t>
            </w:r>
          </w:p>
        </w:tc>
      </w:tr>
      <w:tr w:rsidR="00616B48" w:rsidRPr="00561367" w:rsidTr="00605991">
        <w:trPr>
          <w:trHeight w:val="240"/>
        </w:trPr>
        <w:tc>
          <w:tcPr>
            <w:tcW w:w="3425" w:type="dxa"/>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Latgale</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32</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21</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30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9</w:t>
            </w:r>
          </w:p>
        </w:tc>
      </w:tr>
      <w:tr w:rsidR="00616B48" w:rsidRPr="00561367" w:rsidTr="00605991">
        <w:trPr>
          <w:trHeight w:val="240"/>
        </w:trPr>
        <w:tc>
          <w:tcPr>
            <w:tcW w:w="3425" w:type="dxa"/>
          </w:tcPr>
          <w:p w:rsidR="00616B48" w:rsidRPr="00561367" w:rsidRDefault="00616B48" w:rsidP="00605991">
            <w:pPr>
              <w:widowControl w:val="0"/>
              <w:spacing w:line="285" w:lineRule="auto"/>
              <w:rPr>
                <w:rFonts w:asciiTheme="minorHAnsi" w:hAnsiTheme="minorHAnsi"/>
                <w:sz w:val="20"/>
                <w:szCs w:val="20"/>
              </w:rPr>
            </w:pPr>
            <w:r w:rsidRPr="00561367">
              <w:rPr>
                <w:rFonts w:asciiTheme="minorHAnsi" w:hAnsiTheme="minorHAnsi"/>
                <w:sz w:val="20"/>
                <w:szCs w:val="20"/>
              </w:rPr>
              <w:t>KOPĀ</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153</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90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w:t>
            </w:r>
          </w:p>
        </w:tc>
        <w:tc>
          <w:tcPr>
            <w:tcW w:w="108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100</w:t>
            </w:r>
          </w:p>
        </w:tc>
        <w:tc>
          <w:tcPr>
            <w:tcW w:w="1440" w:type="dxa"/>
          </w:tcPr>
          <w:p w:rsidR="00616B48" w:rsidRPr="00561367" w:rsidRDefault="00616B48" w:rsidP="00605991">
            <w:pPr>
              <w:widowControl w:val="0"/>
              <w:spacing w:line="285" w:lineRule="auto"/>
              <w:jc w:val="center"/>
              <w:rPr>
                <w:rFonts w:asciiTheme="minorHAnsi" w:hAnsiTheme="minorHAnsi"/>
                <w:sz w:val="20"/>
                <w:szCs w:val="20"/>
              </w:rPr>
            </w:pPr>
            <w:r w:rsidRPr="00561367">
              <w:rPr>
                <w:rFonts w:asciiTheme="minorHAnsi" w:hAnsiTheme="minorHAnsi"/>
                <w:sz w:val="20"/>
                <w:szCs w:val="20"/>
              </w:rPr>
              <w:t>7</w:t>
            </w:r>
          </w:p>
        </w:tc>
      </w:tr>
    </w:tbl>
    <w:p w:rsidR="00616B48" w:rsidRPr="00561367" w:rsidRDefault="00616B48" w:rsidP="00616B48">
      <w:pPr>
        <w:ind w:firstLine="720"/>
        <w:jc w:val="both"/>
        <w:rPr>
          <w:sz w:val="4"/>
          <w:szCs w:val="4"/>
        </w:rPr>
      </w:pPr>
    </w:p>
    <w:p w:rsidR="00616B48" w:rsidRPr="00605991" w:rsidRDefault="00616B48" w:rsidP="00605991">
      <w:pPr>
        <w:widowControl w:val="0"/>
        <w:spacing w:before="120"/>
        <w:jc w:val="both"/>
        <w:rPr>
          <w:rFonts w:asciiTheme="minorHAnsi" w:hAnsiTheme="minorHAnsi"/>
        </w:rPr>
      </w:pPr>
      <w:r w:rsidRPr="00605991">
        <w:rPr>
          <w:rFonts w:asciiTheme="minorHAnsi" w:hAnsiTheme="minorHAnsi"/>
        </w:rPr>
        <w:t>Kā redzams, pārbaužu apjomi pa reģionālajām nodaļām ir sadalīti salīdzinoši vienādi, par dažām pārbaudēm vairāk kā citās reģionālajās nodaļās bija jāveic Vispārējās uzraudzības un Rīgas RN un Zemgales RN.</w:t>
      </w:r>
    </w:p>
    <w:p w:rsidR="00616B48" w:rsidRPr="00605991" w:rsidRDefault="00616B48" w:rsidP="00605991">
      <w:pPr>
        <w:widowControl w:val="0"/>
        <w:spacing w:before="120"/>
        <w:jc w:val="both"/>
        <w:rPr>
          <w:rFonts w:asciiTheme="minorHAnsi" w:hAnsiTheme="minorHAnsi"/>
        </w:rPr>
      </w:pPr>
      <w:r w:rsidRPr="00605991">
        <w:rPr>
          <w:rFonts w:asciiTheme="minorHAnsi" w:hAnsiTheme="minorHAnsi"/>
        </w:rPr>
        <w:t>APK lietas 2012.gadā ierosinātas 7 % un 2011.gadā – 9 % veikto pārbaužu. Pārkāpumu skaita proporcionālais pieaugums salīdzinot ar 2011.gadu ska</w:t>
      </w:r>
      <w:smartTag w:uri="urn:schemas-microsoft-com:office:smarttags" w:element="PersonName">
        <w:r w:rsidRPr="00605991">
          <w:rPr>
            <w:rFonts w:asciiTheme="minorHAnsi" w:hAnsiTheme="minorHAnsi"/>
          </w:rPr>
          <w:t>id</w:t>
        </w:r>
      </w:smartTag>
      <w:r w:rsidRPr="00605991">
        <w:rPr>
          <w:rFonts w:asciiTheme="minorHAnsi" w:hAnsiTheme="minorHAnsi"/>
        </w:rPr>
        <w:t>rojams ar jaunajām prasībām amonija nitrātu saturošu mēslošanas līdzekļu tirdzniecībai, ko atsevišķi tirgotāji vēl nebija sākuši izpildīt.</w:t>
      </w:r>
    </w:p>
    <w:p w:rsidR="00616B48" w:rsidRPr="00605991" w:rsidRDefault="00616B48" w:rsidP="00605991">
      <w:pPr>
        <w:widowControl w:val="0"/>
        <w:spacing w:before="120"/>
        <w:jc w:val="both"/>
        <w:rPr>
          <w:rFonts w:asciiTheme="minorHAnsi" w:hAnsiTheme="minorHAnsi"/>
        </w:rPr>
      </w:pPr>
      <w:r w:rsidRPr="00605991">
        <w:rPr>
          <w:rFonts w:asciiTheme="minorHAnsi" w:hAnsiTheme="minorHAnsi"/>
        </w:rPr>
        <w:t>Administratīvie sodi par konstatētajiem pārkāpumiem bija 40 – 200 Ls, soda apmēru ietekmē tirdzniecības vietā esošais ML apjoms. Kopējais ML jomas soda naudas apmērs 2012.gadā bija 920 Ls (2011.gadā – 1040), v</w:t>
      </w:r>
      <w:smartTag w:uri="urn:schemas-microsoft-com:office:smarttags" w:element="PersonName">
        <w:r w:rsidRPr="00605991">
          <w:rPr>
            <w:rFonts w:asciiTheme="minorHAnsi" w:hAnsiTheme="minorHAnsi"/>
          </w:rPr>
          <w:t>id</w:t>
        </w:r>
      </w:smartTag>
      <w:r w:rsidRPr="00605991">
        <w:rPr>
          <w:rFonts w:asciiTheme="minorHAnsi" w:hAnsiTheme="minorHAnsi"/>
        </w:rPr>
        <w:t xml:space="preserve">ējais soda naudas apmērs – 92,0 Ls, kas ir augstāks nekā divus iepriekšējos gadus (2011.gadā – 74,29 Ls, 2010.gadā – 58,8 Ls). </w:t>
      </w:r>
    </w:p>
    <w:p w:rsidR="00616B48" w:rsidRDefault="00616B48" w:rsidP="00616B48"/>
    <w:p w:rsidR="00605991" w:rsidRPr="00212C58" w:rsidRDefault="00605991" w:rsidP="00212C58">
      <w:pPr>
        <w:rPr>
          <w:b/>
          <w:sz w:val="28"/>
          <w:szCs w:val="28"/>
        </w:rPr>
      </w:pPr>
      <w:r w:rsidRPr="00212C58">
        <w:rPr>
          <w:b/>
          <w:sz w:val="28"/>
          <w:szCs w:val="28"/>
        </w:rPr>
        <w:t>4.</w:t>
      </w:r>
      <w:r w:rsidR="004A3B88" w:rsidRPr="00212C58">
        <w:rPr>
          <w:b/>
          <w:sz w:val="28"/>
          <w:szCs w:val="28"/>
        </w:rPr>
        <w:t>4.2</w:t>
      </w:r>
      <w:r w:rsidRPr="00212C58">
        <w:rPr>
          <w:b/>
          <w:sz w:val="28"/>
          <w:szCs w:val="28"/>
        </w:rPr>
        <w:t>. Augšņu agroķīmiskā izpēte</w:t>
      </w:r>
    </w:p>
    <w:p w:rsidR="00605991" w:rsidRPr="00561367" w:rsidRDefault="00605991" w:rsidP="00605991">
      <w:pPr>
        <w:jc w:val="center"/>
        <w:rPr>
          <w:sz w:val="4"/>
          <w:szCs w:val="4"/>
        </w:rPr>
      </w:pPr>
    </w:p>
    <w:p w:rsidR="00605991" w:rsidRPr="001B5213" w:rsidRDefault="00605991" w:rsidP="00605991">
      <w:pPr>
        <w:widowControl w:val="0"/>
        <w:shd w:val="clear" w:color="auto" w:fill="EAF1DD" w:themeFill="accent3" w:themeFillTint="33"/>
        <w:spacing w:before="120"/>
        <w:jc w:val="both"/>
        <w:rPr>
          <w:rFonts w:asciiTheme="minorHAnsi" w:hAnsiTheme="minorHAnsi"/>
          <w:sz w:val="28"/>
        </w:rPr>
      </w:pPr>
      <w:r w:rsidRPr="001B5213">
        <w:rPr>
          <w:rFonts w:asciiTheme="minorHAnsi" w:hAnsiTheme="minorHAnsi"/>
          <w:sz w:val="28"/>
        </w:rPr>
        <w:t xml:space="preserve">Izmaiņas </w:t>
      </w:r>
      <w:r w:rsidR="004A3B88">
        <w:rPr>
          <w:rFonts w:asciiTheme="minorHAnsi" w:hAnsiTheme="minorHAnsi"/>
          <w:sz w:val="28"/>
        </w:rPr>
        <w:t>2012.</w:t>
      </w:r>
      <w:r w:rsidRPr="001B5213">
        <w:rPr>
          <w:rFonts w:asciiTheme="minorHAnsi" w:hAnsiTheme="minorHAnsi"/>
          <w:sz w:val="28"/>
        </w:rPr>
        <w:t>gadā</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Pārskata gadā augšņu agroķīmiskās izpētes (turpmāk – AAI) tika veikta saskaņā ar Ministru kabineta 2004.gada 5.oktobra noteikumiem Nr.833 “Kārtība, kādā iegūstama un apkopojama informācija par lauksaimniecībā izmantojamās zemes auglības līmeni un tā pārmaiņām” un Zemkopības ministrijas 2007.gada15.marta kārtību Nr.12 „Metodiskie norādījumi augšņu agroķīmiskajai izpētei un izpētes rezultātu novērtēšanai” (turpmāk –metodika).</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 xml:space="preserve">Ņemot vērā lauksaimnieku interesi par precīzās lauksaimniecības sistēmu, Jelgavas novada </w:t>
      </w:r>
      <w:r w:rsidRPr="00605991">
        <w:rPr>
          <w:rFonts w:asciiTheme="minorHAnsi" w:hAnsiTheme="minorHAnsi"/>
        </w:rPr>
        <w:lastRenderedPageBreak/>
        <w:t>zemnieku saimniecībā „Vilciņi” 1717 ha platībā AAI tika veikta pielāgojot augsnes paraugu ņemšanas metodiku un rezultātu izsniegšanu precīzās lauksaimniecības vajadzībām.</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2012.gadā praktiski tika pabeigta augšņu agroķīmiskās izpētes ģeogrāfiskās informācijas sistēmas (turpmāk – AAIĢIS) pārnešana uz Kultūraugu uzraudzības valsts informācijas sistēmu (turpmāk – KUVIS).</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Pārskata gada prioritātes bija:</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veikt augšņu agroķīmisko izpēti 30 000 ha lauksaimniecībā izmantojamās zemes (turpmāk – LIZ);</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iesaistīties pakalpojuma „e-pakalpojums augšņu agroķīmiskajai izpētei” izstrādē;</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strādāt pie AAI pakalpojuma pilnveidošanas, ņemot vērā klientu intereses;</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 xml:space="preserve">nodrošināt sekmīgu Agroķīmijas laboratoriju </w:t>
      </w:r>
      <w:proofErr w:type="spellStart"/>
      <w:r w:rsidRPr="00605991">
        <w:rPr>
          <w:rFonts w:asciiTheme="minorHAnsi" w:hAnsiTheme="minorHAnsi"/>
        </w:rPr>
        <w:t>pārakreditāciju</w:t>
      </w:r>
      <w:proofErr w:type="spellEnd"/>
      <w:r w:rsidRPr="00605991">
        <w:rPr>
          <w:rFonts w:asciiTheme="minorHAnsi" w:hAnsiTheme="minorHAnsi"/>
        </w:rPr>
        <w:t>.</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atjaunot laboratorijas aprīkojumu, lai nodrošinātu kvalitatīvas augsnes analīzes.</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 xml:space="preserve">2012.gadā </w:t>
      </w:r>
      <w:r w:rsidR="004B6E67">
        <w:rPr>
          <w:rFonts w:asciiTheme="minorHAnsi" w:hAnsiTheme="minorHAnsi"/>
        </w:rPr>
        <w:t>VAAD</w:t>
      </w:r>
      <w:r w:rsidR="004B6E67" w:rsidRPr="00605991">
        <w:rPr>
          <w:rFonts w:asciiTheme="minorHAnsi" w:hAnsiTheme="minorHAnsi"/>
        </w:rPr>
        <w:t xml:space="preserve"> </w:t>
      </w:r>
      <w:r w:rsidRPr="00605991">
        <w:rPr>
          <w:rFonts w:asciiTheme="minorHAnsi" w:hAnsiTheme="minorHAnsi"/>
        </w:rPr>
        <w:t>AAI veica 37499,4 ha platībā jeb 125 % no plānotā apjoma:</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25782,4 ha saskaņā ar klientu iesniegumiem, pielietojot klasisko AAI metodiku;</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1717 ha – saskaņā ar klienta iesniegumu, pielāgojot AAI metodiku precīzās lauksaimniecības vajadzībām;</w:t>
      </w:r>
    </w:p>
    <w:p w:rsidR="00605991" w:rsidRPr="00605991" w:rsidRDefault="00605991" w:rsidP="001234C1">
      <w:pPr>
        <w:pStyle w:val="ListParagraph"/>
        <w:widowControl w:val="0"/>
        <w:numPr>
          <w:ilvl w:val="0"/>
          <w:numId w:val="20"/>
        </w:numPr>
        <w:spacing w:before="120"/>
        <w:jc w:val="both"/>
        <w:rPr>
          <w:rFonts w:asciiTheme="minorHAnsi" w:hAnsiTheme="minorHAnsi"/>
        </w:rPr>
      </w:pPr>
      <w:r w:rsidRPr="00605991">
        <w:rPr>
          <w:rFonts w:asciiTheme="minorHAnsi" w:hAnsiTheme="minorHAnsi"/>
        </w:rPr>
        <w:t>10000 ha – par tehniskās palīdzības līdzekļiem.</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Bez papildus finansējuma, t.i., pēc klientu pasūtījuma AAI apjoms 2012.gadā bija 27499,4 ha jeb 91,7 % no plānotā apjoma.</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Plānotā AAI apjoma neizpildi var ska</w:t>
      </w:r>
      <w:smartTag w:uri="urn:schemas-microsoft-com:office:smarttags" w:element="PersonName">
        <w:r w:rsidRPr="00605991">
          <w:rPr>
            <w:rFonts w:asciiTheme="minorHAnsi" w:hAnsiTheme="minorHAnsi"/>
          </w:rPr>
          <w:t>id</w:t>
        </w:r>
      </w:smartTag>
      <w:r w:rsidRPr="00605991">
        <w:rPr>
          <w:rFonts w:asciiTheme="minorHAnsi" w:hAnsiTheme="minorHAnsi"/>
        </w:rPr>
        <w:t>rot ar to, ka pārskata gadā, tāpat kā 2010. un 2011.gadā, lauksaimniekiem nebija finansiāla atbalsta AAI veikšanai.</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 xml:space="preserve">Sadarbībā ar </w:t>
      </w:r>
      <w:r w:rsidR="004B6E67">
        <w:rPr>
          <w:rFonts w:asciiTheme="minorHAnsi" w:hAnsiTheme="minorHAnsi"/>
        </w:rPr>
        <w:t>VAAD</w:t>
      </w:r>
      <w:r w:rsidR="004B6E67" w:rsidRPr="00605991">
        <w:rPr>
          <w:rFonts w:asciiTheme="minorHAnsi" w:hAnsiTheme="minorHAnsi"/>
        </w:rPr>
        <w:t xml:space="preserve"> </w:t>
      </w:r>
      <w:r w:rsidRPr="00605991">
        <w:rPr>
          <w:rFonts w:asciiTheme="minorHAnsi" w:hAnsiTheme="minorHAnsi"/>
        </w:rPr>
        <w:t>Informācijas daļu tika uzsākts darbs pie Augšņu agroķīmiskās izpētes e-pakalpojuma izstrādes.</w:t>
      </w:r>
    </w:p>
    <w:p w:rsidR="00605991" w:rsidRDefault="00605991" w:rsidP="00605991">
      <w:pPr>
        <w:widowControl w:val="0"/>
        <w:spacing w:before="120"/>
        <w:jc w:val="both"/>
      </w:pPr>
      <w:r w:rsidRPr="00605991">
        <w:rPr>
          <w:rFonts w:asciiTheme="minorHAnsi" w:hAnsiTheme="minorHAnsi"/>
        </w:rPr>
        <w:t>Plānotā klientu aptauja 2012.gadā tika veikta un tās rezultāti apkopoti un izanalizēti,</w:t>
      </w:r>
      <w:r>
        <w:t xml:space="preserve"> skat., pārskata 1.6.2.apakšpunktu.</w:t>
      </w:r>
    </w:p>
    <w:p w:rsidR="00605991" w:rsidRDefault="00605991" w:rsidP="00605991">
      <w:pPr>
        <w:widowControl w:val="0"/>
        <w:suppressAutoHyphens/>
        <w:ind w:firstLine="720"/>
        <w:jc w:val="both"/>
      </w:pPr>
    </w:p>
    <w:p w:rsidR="00605991" w:rsidRPr="00605991" w:rsidRDefault="00605991" w:rsidP="00561367">
      <w:pPr>
        <w:widowControl w:val="0"/>
        <w:jc w:val="both"/>
        <w:rPr>
          <w:rFonts w:asciiTheme="minorHAnsi" w:hAnsiTheme="minorHAnsi"/>
        </w:rPr>
      </w:pPr>
      <w:r w:rsidRPr="00605991">
        <w:rPr>
          <w:rFonts w:asciiTheme="minorHAnsi" w:hAnsiTheme="minorHAnsi"/>
        </w:rPr>
        <w:t>Pārskata gadā tika sekmīgi pārakreditēta Agroķīmijas laboratorija.</w:t>
      </w:r>
    </w:p>
    <w:p w:rsidR="00605991" w:rsidRDefault="00605991" w:rsidP="00605991">
      <w:pPr>
        <w:widowControl w:val="0"/>
        <w:spacing w:before="120"/>
        <w:jc w:val="both"/>
        <w:rPr>
          <w:rFonts w:asciiTheme="minorHAnsi" w:hAnsiTheme="minorHAnsi"/>
        </w:rPr>
      </w:pPr>
      <w:r w:rsidRPr="00605991">
        <w:rPr>
          <w:rFonts w:asciiTheme="minorHAnsi" w:hAnsiTheme="minorHAnsi"/>
        </w:rPr>
        <w:t xml:space="preserve">Lai nodrošinātu informācijas ieguvi par augsnes agroķīmiskajiem rādītājiem visos valsts plānošanas reģionos (turpmāk – VPR) proporcionāli to koptajai LIZ, </w:t>
      </w:r>
      <w:r w:rsidR="004B6E67">
        <w:rPr>
          <w:rFonts w:asciiTheme="minorHAnsi" w:hAnsiTheme="minorHAnsi"/>
        </w:rPr>
        <w:t>VAAD</w:t>
      </w:r>
      <w:r w:rsidR="004B6E67" w:rsidRPr="00605991">
        <w:rPr>
          <w:rFonts w:asciiTheme="minorHAnsi" w:hAnsiTheme="minorHAnsi"/>
        </w:rPr>
        <w:t xml:space="preserve"> </w:t>
      </w:r>
      <w:r w:rsidRPr="00605991">
        <w:rPr>
          <w:rFonts w:asciiTheme="minorHAnsi" w:hAnsiTheme="minorHAnsi"/>
        </w:rPr>
        <w:t>izstrādāja pamatojumu AAI veikšanai par tehniskās palīdzības līdzekļiem 10 000 ha platībā un saskaņā ar Zemkopības ministrijas 2012.gada 11.jūlija rīkojumu Nr.140 „Par Latvijas Lauku attīstības programmas 2007. - 2013.gadam ieviešanas nodrošināšanu - par augšņu agroķīmisko izpēti/novērtējumu” nodrošināja AAI 10 000 ha LIZ un iegūto datu analīzi.</w:t>
      </w:r>
    </w:p>
    <w:p w:rsidR="00CD2C5D" w:rsidRPr="00561367" w:rsidRDefault="00CD2C5D" w:rsidP="00605991">
      <w:pPr>
        <w:widowControl w:val="0"/>
        <w:spacing w:before="120"/>
        <w:jc w:val="both"/>
        <w:rPr>
          <w:rFonts w:asciiTheme="minorHAnsi" w:hAnsiTheme="minorHAnsi"/>
          <w:sz w:val="4"/>
          <w:szCs w:val="4"/>
        </w:rPr>
      </w:pPr>
    </w:p>
    <w:p w:rsidR="00605991" w:rsidRPr="00605991" w:rsidRDefault="00605991" w:rsidP="00605991">
      <w:pPr>
        <w:widowControl w:val="0"/>
        <w:shd w:val="clear" w:color="auto" w:fill="EAF1DD" w:themeFill="accent3" w:themeFillTint="33"/>
        <w:spacing w:before="120"/>
        <w:jc w:val="both"/>
        <w:rPr>
          <w:rFonts w:asciiTheme="minorHAnsi" w:hAnsiTheme="minorHAnsi"/>
          <w:sz w:val="28"/>
        </w:rPr>
      </w:pPr>
      <w:r w:rsidRPr="00605991">
        <w:rPr>
          <w:rFonts w:asciiTheme="minorHAnsi" w:hAnsiTheme="minorHAnsi"/>
          <w:sz w:val="28"/>
        </w:rPr>
        <w:t>Sniegtie pakalpojumi, piemēram, zemnieku apmācības, augu aizsardzības līdzekļu reģistrācija u.c.</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AAI mērķis ir ne tikai sniegt pakalpojumu konkrētai personai, nosakot apsaimniekoto augšņu auglības agroķīmiskos rādītājus, bet iegūto informāciju ievadīt un uzkrāt Kultūraugu valsts informācijas sistēmas valsts augšņu agroķīmiskās izpētes datu bāzē, lai valstiskā līmenī varētu vērtēt un analizēt situāciju ar augšņu auglību un plānot ilgtspējīgas LIZ izmantošanas nodrošināšanas pasākumus.</w:t>
      </w:r>
    </w:p>
    <w:p w:rsidR="00605991" w:rsidRPr="00605991" w:rsidRDefault="00605991" w:rsidP="00605991">
      <w:pPr>
        <w:widowControl w:val="0"/>
        <w:spacing w:before="120"/>
        <w:jc w:val="both"/>
        <w:rPr>
          <w:rFonts w:asciiTheme="minorHAnsi" w:hAnsiTheme="minorHAnsi"/>
        </w:rPr>
      </w:pPr>
      <w:r w:rsidRPr="00605991">
        <w:rPr>
          <w:rFonts w:asciiTheme="minorHAnsi" w:hAnsiTheme="minorHAnsi"/>
        </w:rPr>
        <w:t>Situācijā, kad AAI tiek veikta tikai pamatojoties uz personu indiv</w:t>
      </w:r>
      <w:smartTag w:uri="urn:schemas-microsoft-com:office:smarttags" w:element="PersonName">
        <w:r w:rsidRPr="00605991">
          <w:rPr>
            <w:rFonts w:asciiTheme="minorHAnsi" w:hAnsiTheme="minorHAnsi"/>
          </w:rPr>
          <w:t>id</w:t>
        </w:r>
      </w:smartTag>
      <w:r w:rsidRPr="00605991">
        <w:rPr>
          <w:rFonts w:asciiTheme="minorHAnsi" w:hAnsiTheme="minorHAnsi"/>
        </w:rPr>
        <w:t>uālu iniciatīvu, informācijas apjoms par augšņu agroķīmiskajām īpašībām dažādos VPR ir ļoti atšķirīgs.</w:t>
      </w:r>
    </w:p>
    <w:p w:rsidR="00B068A9" w:rsidRPr="00B068A9" w:rsidRDefault="00B068A9" w:rsidP="00B068A9">
      <w:pPr>
        <w:widowControl w:val="0"/>
        <w:tabs>
          <w:tab w:val="center" w:pos="4559"/>
        </w:tabs>
        <w:spacing w:before="120"/>
        <w:rPr>
          <w:rFonts w:asciiTheme="minorHAnsi" w:hAnsiTheme="minorHAnsi"/>
          <w:i/>
          <w:color w:val="943634" w:themeColor="accent2" w:themeShade="BF"/>
        </w:rPr>
      </w:pPr>
      <w:r w:rsidRPr="00B068A9">
        <w:rPr>
          <w:rFonts w:asciiTheme="minorHAnsi" w:hAnsiTheme="minorHAnsi"/>
          <w:i/>
          <w:color w:val="943634" w:themeColor="accent2" w:themeShade="BF"/>
        </w:rPr>
        <w:lastRenderedPageBreak/>
        <w:t>AAI apjomi Valsts plānošanas reģionos</w:t>
      </w:r>
    </w:p>
    <w:p w:rsidR="00B068A9" w:rsidRPr="00B068A9" w:rsidRDefault="00B068A9" w:rsidP="00B068A9">
      <w:pPr>
        <w:widowControl w:val="0"/>
        <w:tabs>
          <w:tab w:val="center" w:pos="4559"/>
        </w:tabs>
        <w:spacing w:before="120"/>
        <w:rPr>
          <w:rFonts w:asciiTheme="minorHAnsi" w:hAnsiTheme="minorHAnsi"/>
          <w:i/>
          <w:color w:val="943634" w:themeColor="accent2" w:themeShade="BF"/>
        </w:rPr>
      </w:pPr>
      <w:r w:rsidRPr="00605991">
        <w:rPr>
          <w:rFonts w:asciiTheme="minorHAnsi" w:hAnsiTheme="minorHAnsi"/>
          <w:noProof/>
        </w:rPr>
        <w:drawing>
          <wp:anchor distT="0" distB="0" distL="114300" distR="114300" simplePos="0" relativeHeight="251729920" behindDoc="0" locked="0" layoutInCell="1" allowOverlap="0" wp14:anchorId="4E1CA4B1" wp14:editId="3BE7097F">
            <wp:simplePos x="0" y="0"/>
            <wp:positionH relativeFrom="column">
              <wp:posOffset>30480</wp:posOffset>
            </wp:positionH>
            <wp:positionV relativeFrom="paragraph">
              <wp:posOffset>617855</wp:posOffset>
            </wp:positionV>
            <wp:extent cx="5553710" cy="2921000"/>
            <wp:effectExtent l="0" t="0" r="889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duotone>
                        <a:schemeClr val="accent3">
                          <a:shade val="45000"/>
                          <a:satMod val="135000"/>
                        </a:schemeClr>
                        <a:prstClr val="white"/>
                      </a:duotone>
                      <a:extLst>
                        <a:ext uri="{28A0092B-C50C-407E-A947-70E740481C1C}">
                          <a14:useLocalDpi xmlns:a14="http://schemas.microsoft.com/office/drawing/2010/main" val="0"/>
                        </a:ext>
                      </a:extLst>
                    </a:blip>
                    <a:srcRect l="3546" t="2178" r="2074" b="3566"/>
                    <a:stretch/>
                  </pic:blipFill>
                  <pic:spPr bwMode="auto">
                    <a:xfrm>
                      <a:off x="0" y="0"/>
                      <a:ext cx="5553710" cy="292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68A9">
        <w:rPr>
          <w:rFonts w:asciiTheme="minorHAnsi" w:hAnsiTheme="minorHAnsi"/>
          <w:i/>
          <w:color w:val="943634" w:themeColor="accent2" w:themeShade="BF"/>
        </w:rPr>
        <w:t>(neiekļaujot platības, kurās AAI veikta par tehniskās palīdzības līdzekļiem, kā arī pielāgojot AAI metodiku precīzās lauksaimniecības vajadzībām )</w:t>
      </w:r>
    </w:p>
    <w:p w:rsidR="00605991" w:rsidRPr="00FB79D4" w:rsidRDefault="00605991" w:rsidP="00605991">
      <w:pPr>
        <w:widowControl w:val="0"/>
        <w:suppressAutoHyphens/>
        <w:jc w:val="both"/>
        <w:rPr>
          <w:sz w:val="4"/>
          <w:szCs w:val="4"/>
        </w:rPr>
      </w:pP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t>Kā redzams attēlā, būtiskāko AAI apjomu ve</w:t>
      </w:r>
      <w:smartTag w:uri="urn:schemas-microsoft-com:office:smarttags" w:element="PersonName">
        <w:r w:rsidRPr="00B068A9">
          <w:rPr>
            <w:rFonts w:asciiTheme="minorHAnsi" w:hAnsiTheme="minorHAnsi"/>
          </w:rPr>
          <w:t>id</w:t>
        </w:r>
      </w:smartTag>
      <w:r w:rsidRPr="00B068A9">
        <w:rPr>
          <w:rFonts w:asciiTheme="minorHAnsi" w:hAnsiTheme="minorHAnsi"/>
        </w:rPr>
        <w:t>o Zemgales un Rīgas VPR LIZ, attiecīgi 64 % un 19 % no 2012.gada izpētes, bet mazākais pētīto platību apjoms bijis Kurzemes un Latgales VPR, attiecīgi 3,2 % un 2,8 %. Pie tam Kurzemes un Latgales VPR, salīdzinot ar 2011.gadu ir samazinājies pētīto platību apjoms. Pozitīva tendence bijusi V</w:t>
      </w:r>
      <w:smartTag w:uri="urn:schemas-microsoft-com:office:smarttags" w:element="PersonName">
        <w:r w:rsidRPr="00B068A9">
          <w:rPr>
            <w:rFonts w:asciiTheme="minorHAnsi" w:hAnsiTheme="minorHAnsi"/>
          </w:rPr>
          <w:t>id</w:t>
        </w:r>
      </w:smartTag>
      <w:r w:rsidRPr="00B068A9">
        <w:rPr>
          <w:rFonts w:asciiTheme="minorHAnsi" w:hAnsiTheme="minorHAnsi"/>
        </w:rPr>
        <w:t>zemes VPR, kur, salīdzinājumā ar 2011.gadu, AAI pieteiktās platības ir dubultojušās: 2011.gadā – 1408,5 ha, bet 2012.gadā – 2958,8 ha.</w:t>
      </w: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t>Lai gan 2012.gadā lauksaimnieki joprojām nesaņēma finansiālu atbalstu AAI veikšanai, salīdzinot ar 2010.gadu, kad zemniekiem tika pārtraukta AAI subsidēšana, būtiski ir palielinājies gan AAI pieteikto LIZ</w:t>
      </w:r>
      <w:r w:rsidR="00B068A9">
        <w:rPr>
          <w:rFonts w:asciiTheme="minorHAnsi" w:hAnsiTheme="minorHAnsi"/>
        </w:rPr>
        <w:t xml:space="preserve"> apjoms, gan saimniecību skaits. </w:t>
      </w:r>
      <w:r w:rsidRPr="00B068A9">
        <w:rPr>
          <w:rFonts w:asciiTheme="minorHAnsi" w:hAnsiTheme="minorHAnsi"/>
        </w:rPr>
        <w:t>Pārskata gadā lauksaimnieki AAI ir pieteikuši trīs reizes vairāk platību nekā 2010.gadā – 327,6 % un saimniecību skaits ir gandrīz dubultojies – 169,5 %. Jāatzīmē, ka interesi par AAI ir izrādījušas arvien lielākas saimniecības – ja 2010.gadā viena saimniecība AAI pieteica v</w:t>
      </w:r>
      <w:smartTag w:uri="urn:schemas-microsoft-com:office:smarttags" w:element="PersonName">
        <w:r w:rsidRPr="00B068A9">
          <w:rPr>
            <w:rFonts w:asciiTheme="minorHAnsi" w:hAnsiTheme="minorHAnsi"/>
          </w:rPr>
          <w:t>id</w:t>
        </w:r>
      </w:smartTag>
      <w:r w:rsidRPr="00B068A9">
        <w:rPr>
          <w:rFonts w:asciiTheme="minorHAnsi" w:hAnsiTheme="minorHAnsi"/>
        </w:rPr>
        <w:t>ēji 64,1 ha, tad 2012.gadā – jau 123,9 ha.</w:t>
      </w:r>
    </w:p>
    <w:p w:rsidR="00605991" w:rsidRPr="00605991" w:rsidRDefault="00605991" w:rsidP="00605991">
      <w:pPr>
        <w:pStyle w:val="BodyText"/>
        <w:ind w:firstLine="720"/>
        <w:jc w:val="right"/>
        <w:rPr>
          <w:lang w:val="lv-LV"/>
        </w:rPr>
      </w:pPr>
    </w:p>
    <w:p w:rsidR="00605991" w:rsidRPr="0014032F" w:rsidRDefault="00605991" w:rsidP="00B068A9">
      <w:pPr>
        <w:shd w:val="clear" w:color="auto" w:fill="DAEEF3" w:themeFill="accent5" w:themeFillTint="33"/>
        <w:jc w:val="both"/>
        <w:rPr>
          <w:b/>
        </w:rPr>
      </w:pPr>
      <w:r w:rsidRPr="00B068A9">
        <w:rPr>
          <w:rFonts w:asciiTheme="minorHAnsi" w:hAnsiTheme="minorHAnsi"/>
        </w:rPr>
        <w:t>Augšņu agroķīmiskās izpētes apjomi</w:t>
      </w:r>
    </w:p>
    <w:p w:rsidR="00605991" w:rsidRPr="00FB79D4" w:rsidRDefault="00605991" w:rsidP="00605991">
      <w:pPr>
        <w:pStyle w:val="BodyText"/>
        <w:ind w:firstLine="720"/>
        <w:jc w:val="center"/>
        <w:rPr>
          <w:sz w:val="4"/>
          <w:szCs w:val="4"/>
        </w:rPr>
      </w:pPr>
    </w:p>
    <w:tbl>
      <w:tblPr>
        <w:tblW w:w="9000" w:type="dxa"/>
        <w:tblInd w:w="-72" w:type="dxa"/>
        <w:tblBorders>
          <w:top w:val="single" w:sz="8" w:space="0" w:color="31849B" w:themeColor="accent5" w:themeShade="BF"/>
          <w:bottom w:val="single" w:sz="8" w:space="0" w:color="31849B" w:themeColor="accent5" w:themeShade="BF"/>
          <w:insideH w:val="single" w:sz="8" w:space="0" w:color="31849B" w:themeColor="accent5" w:themeShade="BF"/>
        </w:tblBorders>
        <w:tblLook w:val="01E0" w:firstRow="1" w:lastRow="1" w:firstColumn="1" w:lastColumn="1" w:noHBand="0" w:noVBand="0"/>
      </w:tblPr>
      <w:tblGrid>
        <w:gridCol w:w="3960"/>
        <w:gridCol w:w="1260"/>
        <w:gridCol w:w="1440"/>
        <w:gridCol w:w="2340"/>
      </w:tblGrid>
      <w:tr w:rsidR="00605991" w:rsidRPr="00FB79D4" w:rsidTr="00B068A9">
        <w:tc>
          <w:tcPr>
            <w:tcW w:w="3960" w:type="dxa"/>
            <w:shd w:val="clear" w:color="auto" w:fill="auto"/>
          </w:tcPr>
          <w:p w:rsidR="00605991" w:rsidRPr="00FB79D4" w:rsidRDefault="00605991" w:rsidP="00B068A9">
            <w:pPr>
              <w:widowControl w:val="0"/>
              <w:spacing w:line="285" w:lineRule="auto"/>
              <w:jc w:val="center"/>
              <w:rPr>
                <w:rFonts w:asciiTheme="minorHAnsi" w:hAnsiTheme="minorHAnsi"/>
                <w:b/>
                <w:sz w:val="20"/>
                <w:szCs w:val="20"/>
              </w:rPr>
            </w:pPr>
            <w:r w:rsidRPr="00FB79D4">
              <w:rPr>
                <w:rFonts w:asciiTheme="minorHAnsi" w:hAnsiTheme="minorHAnsi"/>
                <w:b/>
                <w:sz w:val="20"/>
                <w:szCs w:val="20"/>
              </w:rPr>
              <w:t>Rādītājs</w:t>
            </w:r>
          </w:p>
        </w:tc>
        <w:tc>
          <w:tcPr>
            <w:tcW w:w="1260" w:type="dxa"/>
            <w:shd w:val="clear" w:color="auto" w:fill="auto"/>
          </w:tcPr>
          <w:p w:rsidR="00605991" w:rsidRPr="00FB79D4" w:rsidRDefault="00605991" w:rsidP="00B068A9">
            <w:pPr>
              <w:widowControl w:val="0"/>
              <w:spacing w:line="285" w:lineRule="auto"/>
              <w:jc w:val="center"/>
              <w:rPr>
                <w:rFonts w:asciiTheme="minorHAnsi" w:hAnsiTheme="minorHAnsi"/>
                <w:b/>
                <w:sz w:val="20"/>
                <w:szCs w:val="20"/>
              </w:rPr>
            </w:pPr>
            <w:r w:rsidRPr="00FB79D4">
              <w:rPr>
                <w:rFonts w:asciiTheme="minorHAnsi" w:hAnsiTheme="minorHAnsi"/>
                <w:b/>
                <w:sz w:val="20"/>
                <w:szCs w:val="20"/>
              </w:rPr>
              <w:t>2010.gads</w:t>
            </w:r>
          </w:p>
        </w:tc>
        <w:tc>
          <w:tcPr>
            <w:tcW w:w="1440" w:type="dxa"/>
            <w:shd w:val="clear" w:color="auto" w:fill="auto"/>
          </w:tcPr>
          <w:p w:rsidR="00605991" w:rsidRPr="00FB79D4" w:rsidRDefault="00605991" w:rsidP="00B068A9">
            <w:pPr>
              <w:widowControl w:val="0"/>
              <w:spacing w:line="285" w:lineRule="auto"/>
              <w:jc w:val="center"/>
              <w:rPr>
                <w:rFonts w:asciiTheme="minorHAnsi" w:hAnsiTheme="minorHAnsi"/>
                <w:b/>
                <w:sz w:val="20"/>
                <w:szCs w:val="20"/>
              </w:rPr>
            </w:pPr>
            <w:r w:rsidRPr="00FB79D4">
              <w:rPr>
                <w:rFonts w:asciiTheme="minorHAnsi" w:hAnsiTheme="minorHAnsi"/>
                <w:b/>
                <w:sz w:val="20"/>
                <w:szCs w:val="20"/>
              </w:rPr>
              <w:t>2012.gads</w:t>
            </w:r>
          </w:p>
        </w:tc>
        <w:tc>
          <w:tcPr>
            <w:tcW w:w="2340" w:type="dxa"/>
            <w:shd w:val="clear" w:color="auto" w:fill="auto"/>
          </w:tcPr>
          <w:p w:rsidR="00605991" w:rsidRPr="00FB79D4" w:rsidRDefault="00605991" w:rsidP="00B068A9">
            <w:pPr>
              <w:widowControl w:val="0"/>
              <w:spacing w:line="285" w:lineRule="auto"/>
              <w:jc w:val="center"/>
              <w:rPr>
                <w:rFonts w:asciiTheme="minorHAnsi" w:hAnsiTheme="minorHAnsi"/>
                <w:b/>
                <w:sz w:val="20"/>
                <w:szCs w:val="20"/>
              </w:rPr>
            </w:pPr>
            <w:r w:rsidRPr="00FB79D4">
              <w:rPr>
                <w:rFonts w:asciiTheme="minorHAnsi" w:hAnsiTheme="minorHAnsi"/>
                <w:b/>
                <w:sz w:val="20"/>
                <w:szCs w:val="20"/>
              </w:rPr>
              <w:t>%, salīdzinot ar 2010.gadu</w:t>
            </w:r>
          </w:p>
        </w:tc>
      </w:tr>
      <w:tr w:rsidR="00605991" w:rsidRPr="00FB79D4" w:rsidTr="00B068A9">
        <w:tc>
          <w:tcPr>
            <w:tcW w:w="3960" w:type="dxa"/>
            <w:shd w:val="clear" w:color="auto" w:fill="auto"/>
          </w:tcPr>
          <w:p w:rsidR="00605991" w:rsidRPr="00FB79D4" w:rsidRDefault="00605991" w:rsidP="00B068A9">
            <w:pPr>
              <w:widowControl w:val="0"/>
              <w:spacing w:line="285" w:lineRule="auto"/>
              <w:rPr>
                <w:rFonts w:asciiTheme="minorHAnsi" w:hAnsiTheme="minorHAnsi"/>
                <w:sz w:val="20"/>
                <w:szCs w:val="20"/>
              </w:rPr>
            </w:pPr>
            <w:r w:rsidRPr="00FB79D4">
              <w:rPr>
                <w:rFonts w:asciiTheme="minorHAnsi" w:hAnsiTheme="minorHAnsi"/>
                <w:sz w:val="20"/>
                <w:szCs w:val="20"/>
              </w:rPr>
              <w:t>AAI apjoms, ha</w:t>
            </w:r>
          </w:p>
        </w:tc>
        <w:tc>
          <w:tcPr>
            <w:tcW w:w="126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8 394</w:t>
            </w:r>
          </w:p>
        </w:tc>
        <w:tc>
          <w:tcPr>
            <w:tcW w:w="14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27499,4</w:t>
            </w:r>
          </w:p>
        </w:tc>
        <w:tc>
          <w:tcPr>
            <w:tcW w:w="23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327,6</w:t>
            </w:r>
          </w:p>
        </w:tc>
      </w:tr>
      <w:tr w:rsidR="00605991" w:rsidRPr="00FB79D4" w:rsidTr="00B068A9">
        <w:tc>
          <w:tcPr>
            <w:tcW w:w="3960" w:type="dxa"/>
            <w:shd w:val="clear" w:color="auto" w:fill="auto"/>
          </w:tcPr>
          <w:p w:rsidR="00605991" w:rsidRPr="00FB79D4" w:rsidRDefault="00605991" w:rsidP="00B068A9">
            <w:pPr>
              <w:widowControl w:val="0"/>
              <w:spacing w:line="285" w:lineRule="auto"/>
              <w:rPr>
                <w:rFonts w:asciiTheme="minorHAnsi" w:hAnsiTheme="minorHAnsi"/>
                <w:sz w:val="20"/>
                <w:szCs w:val="20"/>
              </w:rPr>
            </w:pPr>
            <w:r w:rsidRPr="00FB79D4">
              <w:rPr>
                <w:rFonts w:asciiTheme="minorHAnsi" w:hAnsiTheme="minorHAnsi"/>
                <w:sz w:val="20"/>
                <w:szCs w:val="20"/>
              </w:rPr>
              <w:t>Saimniecības, skaits</w:t>
            </w:r>
          </w:p>
        </w:tc>
        <w:tc>
          <w:tcPr>
            <w:tcW w:w="126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131</w:t>
            </w:r>
          </w:p>
        </w:tc>
        <w:tc>
          <w:tcPr>
            <w:tcW w:w="14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222</w:t>
            </w:r>
          </w:p>
        </w:tc>
        <w:tc>
          <w:tcPr>
            <w:tcW w:w="23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169,5</w:t>
            </w:r>
          </w:p>
        </w:tc>
      </w:tr>
      <w:tr w:rsidR="00605991" w:rsidRPr="00FB79D4" w:rsidTr="00B068A9">
        <w:tc>
          <w:tcPr>
            <w:tcW w:w="3960" w:type="dxa"/>
            <w:shd w:val="clear" w:color="auto" w:fill="auto"/>
          </w:tcPr>
          <w:p w:rsidR="00605991" w:rsidRPr="00FB79D4" w:rsidRDefault="00605991" w:rsidP="00B068A9">
            <w:pPr>
              <w:widowControl w:val="0"/>
              <w:spacing w:line="285" w:lineRule="auto"/>
              <w:rPr>
                <w:rFonts w:asciiTheme="minorHAnsi" w:hAnsiTheme="minorHAnsi"/>
                <w:sz w:val="20"/>
                <w:szCs w:val="20"/>
              </w:rPr>
            </w:pPr>
            <w:r w:rsidRPr="00FB79D4">
              <w:rPr>
                <w:rFonts w:asciiTheme="minorHAnsi" w:hAnsiTheme="minorHAnsi"/>
                <w:sz w:val="20"/>
                <w:szCs w:val="20"/>
              </w:rPr>
              <w:t>V</w:t>
            </w:r>
            <w:smartTag w:uri="urn:schemas-microsoft-com:office:smarttags" w:element="PersonName">
              <w:r w:rsidRPr="00FB79D4">
                <w:rPr>
                  <w:rFonts w:asciiTheme="minorHAnsi" w:hAnsiTheme="minorHAnsi"/>
                  <w:sz w:val="20"/>
                  <w:szCs w:val="20"/>
                </w:rPr>
                <w:t>id</w:t>
              </w:r>
            </w:smartTag>
            <w:r w:rsidRPr="00FB79D4">
              <w:rPr>
                <w:rFonts w:asciiTheme="minorHAnsi" w:hAnsiTheme="minorHAnsi"/>
                <w:sz w:val="20"/>
                <w:szCs w:val="20"/>
              </w:rPr>
              <w:t>ējā 1 personas pieteiktā platība, ha</w:t>
            </w:r>
          </w:p>
        </w:tc>
        <w:tc>
          <w:tcPr>
            <w:tcW w:w="126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64,1</w:t>
            </w:r>
          </w:p>
        </w:tc>
        <w:tc>
          <w:tcPr>
            <w:tcW w:w="14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123,9</w:t>
            </w:r>
          </w:p>
        </w:tc>
        <w:tc>
          <w:tcPr>
            <w:tcW w:w="2340" w:type="dxa"/>
            <w:shd w:val="clear" w:color="auto" w:fill="auto"/>
          </w:tcPr>
          <w:p w:rsidR="00605991" w:rsidRPr="00FB79D4" w:rsidRDefault="00605991" w:rsidP="00B068A9">
            <w:pPr>
              <w:widowControl w:val="0"/>
              <w:spacing w:line="285" w:lineRule="auto"/>
              <w:jc w:val="center"/>
              <w:rPr>
                <w:rFonts w:asciiTheme="minorHAnsi" w:hAnsiTheme="minorHAnsi"/>
                <w:sz w:val="20"/>
                <w:szCs w:val="20"/>
              </w:rPr>
            </w:pPr>
            <w:r w:rsidRPr="00FB79D4">
              <w:rPr>
                <w:rFonts w:asciiTheme="minorHAnsi" w:hAnsiTheme="minorHAnsi"/>
                <w:sz w:val="20"/>
                <w:szCs w:val="20"/>
              </w:rPr>
              <w:t>193,3</w:t>
            </w:r>
          </w:p>
        </w:tc>
      </w:tr>
    </w:tbl>
    <w:p w:rsidR="00605991" w:rsidRPr="0014032F" w:rsidRDefault="00605991" w:rsidP="00605991">
      <w:pPr>
        <w:pStyle w:val="BodyText"/>
        <w:ind w:firstLine="720"/>
        <w:jc w:val="center"/>
        <w:rPr>
          <w:b/>
        </w:rPr>
      </w:pPr>
    </w:p>
    <w:p w:rsidR="00605991" w:rsidRPr="00B068A9" w:rsidRDefault="00605991" w:rsidP="00FB79D4">
      <w:pPr>
        <w:widowControl w:val="0"/>
        <w:jc w:val="both"/>
        <w:rPr>
          <w:rFonts w:asciiTheme="minorHAnsi" w:hAnsiTheme="minorHAnsi"/>
        </w:rPr>
      </w:pPr>
      <w:r w:rsidRPr="00B068A9">
        <w:rPr>
          <w:rFonts w:asciiTheme="minorHAnsi" w:hAnsiTheme="minorHAnsi"/>
        </w:rPr>
        <w:t>Ņemot vērā AAI apjomu pieaugumu 2012.gadā, būtiski palielinājās arī Agroķīmijas laboratorijas darba apjomi.</w:t>
      </w: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t>2012.gadā tika izanalizēts 8492 AAI augsnes paraugs, kas ir 231 % salīdzinājumā ar 2011.gadu, kad tika izanalizēts 3672 AAI paraugs. No kopējā AAI paraugu skaita 69,8 % (5930) ve</w:t>
      </w:r>
      <w:smartTag w:uri="urn:schemas-microsoft-com:office:smarttags" w:element="PersonName">
        <w:r w:rsidRPr="00B068A9">
          <w:rPr>
            <w:rFonts w:asciiTheme="minorHAnsi" w:hAnsiTheme="minorHAnsi"/>
          </w:rPr>
          <w:t>id</w:t>
        </w:r>
      </w:smartTag>
      <w:r w:rsidRPr="00B068A9">
        <w:rPr>
          <w:rFonts w:asciiTheme="minorHAnsi" w:hAnsiTheme="minorHAnsi"/>
        </w:rPr>
        <w:t>o lauksaimnieku AAI pieteiktās LIZ paraugi un 30,2 % (2562) – tehniskās palīdzības AAI paraugi.</w:t>
      </w: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lastRenderedPageBreak/>
        <w:t>Kopumā pārskata gadā laboratorija izanalizēja 9456 paraugus, t.sk., 9434 augsnes paraugus (ieskaitot indiv</w:t>
      </w:r>
      <w:smartTag w:uri="urn:schemas-microsoft-com:office:smarttags" w:element="PersonName">
        <w:r w:rsidRPr="00B068A9">
          <w:rPr>
            <w:rFonts w:asciiTheme="minorHAnsi" w:hAnsiTheme="minorHAnsi"/>
          </w:rPr>
          <w:t>id</w:t>
        </w:r>
      </w:smartTag>
      <w:r w:rsidRPr="00B068A9">
        <w:rPr>
          <w:rFonts w:asciiTheme="minorHAnsi" w:hAnsiTheme="minorHAnsi"/>
        </w:rPr>
        <w:t>uālo klientu analīzēm iesniegtos paraugus) un 22 mēslošanas līdzekļu paraugu. Mēslošanas līdzekļi ve</w:t>
      </w:r>
      <w:smartTag w:uri="urn:schemas-microsoft-com:office:smarttags" w:element="PersonName">
        <w:r w:rsidRPr="00B068A9">
          <w:rPr>
            <w:rFonts w:asciiTheme="minorHAnsi" w:hAnsiTheme="minorHAnsi"/>
          </w:rPr>
          <w:t>id</w:t>
        </w:r>
      </w:smartTag>
      <w:r w:rsidRPr="00B068A9">
        <w:rPr>
          <w:rFonts w:asciiTheme="minorHAnsi" w:hAnsiTheme="minorHAnsi"/>
        </w:rPr>
        <w:t>oja tikai 0,23 % no paraugu kopskaita. Salīdzinājumam 2011.gadā tika izanalizēts 4326 paraugs, t.sk., 4301 augsnes un 25 mēslošanas līdzekļu paraugs. Arī 2011.gadā mēslošanas līdzekļu īpatsvars bija ļoti neliels – 0,58 % no kopējā paraugu skaita, tomēr proporcionāli lielāks nekā pārskata gadā.</w:t>
      </w: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t>Ņemot vērā, ka laboratorijas pakalpojumu lielāko īpatsvaru ve</w:t>
      </w:r>
      <w:smartTag w:uri="urn:schemas-microsoft-com:office:smarttags" w:element="PersonName">
        <w:r w:rsidRPr="00B068A9">
          <w:rPr>
            <w:rFonts w:asciiTheme="minorHAnsi" w:hAnsiTheme="minorHAnsi"/>
          </w:rPr>
          <w:t>id</w:t>
        </w:r>
      </w:smartTag>
      <w:r w:rsidRPr="00B068A9">
        <w:rPr>
          <w:rFonts w:asciiTheme="minorHAnsi" w:hAnsiTheme="minorHAnsi"/>
        </w:rPr>
        <w:t>o tieši augsnes analīzes, turpmāk jāpievērš lielāka uzmanība tieši šo analīžu metožu pilnve</w:t>
      </w:r>
      <w:smartTag w:uri="urn:schemas-microsoft-com:office:smarttags" w:element="PersonName">
        <w:r w:rsidRPr="00B068A9">
          <w:rPr>
            <w:rFonts w:asciiTheme="minorHAnsi" w:hAnsiTheme="minorHAnsi"/>
          </w:rPr>
          <w:t>id</w:t>
        </w:r>
      </w:smartTag>
      <w:r w:rsidRPr="00B068A9">
        <w:rPr>
          <w:rFonts w:asciiTheme="minorHAnsi" w:hAnsiTheme="minorHAnsi"/>
        </w:rPr>
        <w:t>ošanai, nodrošinājumam ar laboratorijas iekārtām un sadarbībai ar citu valstu laboratorijām.</w:t>
      </w:r>
    </w:p>
    <w:p w:rsidR="00605991" w:rsidRPr="00B068A9" w:rsidRDefault="00605991" w:rsidP="00B068A9">
      <w:pPr>
        <w:widowControl w:val="0"/>
        <w:spacing w:before="120"/>
        <w:jc w:val="both"/>
        <w:rPr>
          <w:rFonts w:asciiTheme="minorHAnsi" w:hAnsiTheme="minorHAnsi"/>
        </w:rPr>
      </w:pPr>
      <w:r w:rsidRPr="00B068A9">
        <w:rPr>
          <w:rFonts w:asciiTheme="minorHAnsi" w:hAnsiTheme="minorHAnsi"/>
        </w:rPr>
        <w:t>Jāatzīmē, ka 2012.gadā analīzēm tika iesniegts par 50 % vairāk indiv</w:t>
      </w:r>
      <w:smartTag w:uri="urn:schemas-microsoft-com:office:smarttags" w:element="PersonName">
        <w:r w:rsidRPr="00B068A9">
          <w:rPr>
            <w:rFonts w:asciiTheme="minorHAnsi" w:hAnsiTheme="minorHAnsi"/>
          </w:rPr>
          <w:t>id</w:t>
        </w:r>
      </w:smartTag>
      <w:r w:rsidRPr="00B068A9">
        <w:rPr>
          <w:rFonts w:asciiTheme="minorHAnsi" w:hAnsiTheme="minorHAnsi"/>
        </w:rPr>
        <w:t>uālo klientu augsnes paraugu, attiecīgi 2011.gadā – 629 paraugs un 2012.gadā – 942 paraugs.</w:t>
      </w:r>
    </w:p>
    <w:p w:rsidR="0068611C" w:rsidRDefault="0068611C" w:rsidP="00B068A9">
      <w:pPr>
        <w:widowControl w:val="0"/>
        <w:spacing w:before="120"/>
        <w:jc w:val="both"/>
        <w:rPr>
          <w:rFonts w:asciiTheme="minorHAnsi" w:hAnsiTheme="minorHAnsi"/>
        </w:rPr>
      </w:pPr>
    </w:p>
    <w:p w:rsidR="0068611C" w:rsidRPr="00212C58" w:rsidRDefault="004A3B88" w:rsidP="00212C58">
      <w:pPr>
        <w:rPr>
          <w:b/>
          <w:sz w:val="28"/>
          <w:szCs w:val="28"/>
        </w:rPr>
      </w:pPr>
      <w:r w:rsidRPr="00212C58">
        <w:rPr>
          <w:b/>
          <w:sz w:val="28"/>
          <w:szCs w:val="28"/>
        </w:rPr>
        <w:t>4.4.3</w:t>
      </w:r>
      <w:r w:rsidR="0068611C" w:rsidRPr="00212C58">
        <w:rPr>
          <w:b/>
          <w:sz w:val="28"/>
          <w:szCs w:val="28"/>
        </w:rPr>
        <w:t>. Mēslošanas līdzekļu plānu uzraudzība īpaši jutīgajās teritorijās</w:t>
      </w:r>
    </w:p>
    <w:p w:rsidR="004A3B88" w:rsidRPr="000C02B3" w:rsidRDefault="004A3B88" w:rsidP="004A3B88">
      <w:pPr>
        <w:pStyle w:val="Style2"/>
        <w:jc w:val="left"/>
        <w:rPr>
          <w:sz w:val="32"/>
        </w:rPr>
      </w:pPr>
      <w:r w:rsidRPr="000C02B3">
        <w:rPr>
          <w:sz w:val="32"/>
        </w:rPr>
        <w:t>Izmaiņas 2012.gadā</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2012.gadā jomas darbs turpinājās saistībā ar 2011.gada 11.janvārī pieņemtajiem Ministru kabineta noteikumiem Nr.33 „Noteikumi par ūdens un augsnes aizsardzību no lauksaimnieciskās darbības izraisīta piesārņojuma ar nitrātiem” (turpmāk – Noteikumi), kas nosaka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kompetenci attiecībā uz mēslošanas līdzekļu (turpmāk - ML) lietošanu un uzskaiti visā Latvijas teritorijā, augsnes minerālā slāpekļa monitoringa (turpmāk – monitorings) īstenošanu un datu bāzes par monitoringu un Īpaši jutīgo teritoriju (turpmāk – ĪJT) saimniecībām izveidošanu un uzturēšanu Kultūraugu uzraudzības valsts informācijas sistēmā (turpmāk – KUVIS).</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2012.gada 21.martā stājās spēkā grozījumi Latvijas Administratīvo pārkāpumu kodeksā (turpmāk - LAPK), paplašinot VAAD kompetenci administratīvo pārkāpumu lietu izskatīšanā un administratīvo naudas sodu uzlikšanā attiecībā uz piesārņojošas darbības veikšanu bez attiecīgas atļaujas un darbības neatbilstību normatīvo aktu prasībām (LAPK 88.6pants; ML lietošana) un normatīvajos aktos par ūdens un augsnes aizsardzību no lauksaimnieciskās darbības izraisīta piesārņojuma ar nitrātiem dokumentācijai noteikto prasību pārkāpšanu (LAPK 88.10 pants; ML uzskaite). Līdz ar minēto grozījumu stāšanos spēkā, notika darbs pie vadlīniju administratīvo sodu noteikšanai izstrādes un apstiprināšanas.</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2012.gadā, ņemot vērā, ka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netika piešķirti līdzekļi ML lietošanas un uzskaites uzraudzībai, pārbaužu veikšana ĪJT tika nodrošināta tikai savstarpējās atbilstības pārvaldības prasību (turpmāk - SA) ietvaros saskaņā ar Ministru kabineta 2011.gada 1.marta noteikumiem Nr.173 „Kārtība, kādā tiek piešķirts valsts un Eiropas Savienības atbalsts lauksaimniecībai tiešā atbalsta shēmu ietvaros”, kā arī pamatojoties uz personu iesniegumiem (sūdzībām) par ML lietošanas prasību pārkāpumiem visā Latvijas teritorijā.</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Lai nodrošinātu mēslošanas līdzekļu lietošanas un uzskaites uzraudzību, tika:</w:t>
      </w:r>
    </w:p>
    <w:p w:rsidR="0068611C" w:rsidRPr="0068611C" w:rsidRDefault="0068611C" w:rsidP="001234C1">
      <w:pPr>
        <w:pStyle w:val="ListParagraph"/>
        <w:widowControl w:val="0"/>
        <w:numPr>
          <w:ilvl w:val="0"/>
          <w:numId w:val="21"/>
        </w:numPr>
        <w:spacing w:before="120"/>
        <w:ind w:left="284" w:hanging="295"/>
        <w:jc w:val="both"/>
        <w:rPr>
          <w:rFonts w:asciiTheme="minorHAnsi" w:hAnsiTheme="minorHAnsi"/>
        </w:rPr>
      </w:pPr>
      <w:r w:rsidRPr="0068611C">
        <w:rPr>
          <w:rFonts w:asciiTheme="minorHAnsi" w:hAnsiTheme="minorHAnsi"/>
        </w:rPr>
        <w:t>veikta reģionālo nodaļu inspektoru apmācība (3 dienas):</w:t>
      </w:r>
    </w:p>
    <w:p w:rsidR="0068611C" w:rsidRPr="0068611C" w:rsidRDefault="0068611C" w:rsidP="001234C1">
      <w:pPr>
        <w:pStyle w:val="ListParagraph"/>
        <w:widowControl w:val="0"/>
        <w:numPr>
          <w:ilvl w:val="0"/>
          <w:numId w:val="21"/>
        </w:numPr>
        <w:spacing w:before="120"/>
        <w:ind w:left="284" w:hanging="295"/>
        <w:jc w:val="both"/>
        <w:rPr>
          <w:rFonts w:asciiTheme="minorHAnsi" w:hAnsiTheme="minorHAnsi"/>
        </w:rPr>
      </w:pPr>
      <w:r w:rsidRPr="0068611C">
        <w:rPr>
          <w:rFonts w:asciiTheme="minorHAnsi" w:hAnsiTheme="minorHAnsi"/>
        </w:rPr>
        <w:t xml:space="preserve">izdoti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rīkojumi un instrukcijas (3 rīkojumi un 2 instrukcijas):</w:t>
      </w:r>
    </w:p>
    <w:p w:rsidR="0068611C" w:rsidRPr="0068611C" w:rsidRDefault="0068611C" w:rsidP="001234C1">
      <w:pPr>
        <w:pStyle w:val="ListParagraph"/>
        <w:widowControl w:val="0"/>
        <w:numPr>
          <w:ilvl w:val="0"/>
          <w:numId w:val="21"/>
        </w:numPr>
        <w:spacing w:before="120"/>
        <w:ind w:left="284" w:hanging="295"/>
        <w:jc w:val="both"/>
        <w:rPr>
          <w:rFonts w:asciiTheme="minorHAnsi" w:hAnsiTheme="minorHAnsi"/>
        </w:rPr>
      </w:pPr>
      <w:r w:rsidRPr="0068611C">
        <w:rPr>
          <w:rFonts w:asciiTheme="minorHAnsi" w:hAnsiTheme="minorHAnsi"/>
        </w:rPr>
        <w:t>veikta ML jomas SA inspektoru darba kvalitātes uzraudzība: 6 pārbaudes saimniecībās uz vietas un 21 administratīvā (inspektoru sagatavotie pārbaudes akti) pārbaude;</w:t>
      </w:r>
    </w:p>
    <w:p w:rsidR="0068611C" w:rsidRPr="0068611C" w:rsidRDefault="0068611C" w:rsidP="001234C1">
      <w:pPr>
        <w:pStyle w:val="ListParagraph"/>
        <w:widowControl w:val="0"/>
        <w:numPr>
          <w:ilvl w:val="0"/>
          <w:numId w:val="21"/>
        </w:numPr>
        <w:spacing w:before="120"/>
        <w:ind w:left="284" w:hanging="295"/>
        <w:jc w:val="both"/>
        <w:rPr>
          <w:rFonts w:asciiTheme="minorHAnsi" w:hAnsiTheme="minorHAnsi"/>
        </w:rPr>
      </w:pPr>
      <w:r w:rsidRPr="0068611C">
        <w:rPr>
          <w:rFonts w:asciiTheme="minorHAnsi" w:hAnsiTheme="minorHAnsi"/>
        </w:rPr>
        <w:t xml:space="preserve">veikta sarakste ar </w:t>
      </w:r>
      <w:r w:rsidR="006732F0">
        <w:rPr>
          <w:rFonts w:asciiTheme="minorHAnsi" w:hAnsiTheme="minorHAnsi"/>
        </w:rPr>
        <w:t>juridiskām un fiziskām personām.</w:t>
      </w:r>
      <w:bookmarkStart w:id="33" w:name="_GoBack"/>
      <w:bookmarkEnd w:id="33"/>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Pārskata perioda prioritātes bija nodrošināt noteikumu prasību par ML lietošanas un uzskaiti izpildes uzraudzību un kontroli saskaņā ar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 xml:space="preserve">plānu un grozījumiem LAPK, kā arī ML </w:t>
      </w:r>
      <w:r w:rsidRPr="0068611C">
        <w:rPr>
          <w:rFonts w:asciiTheme="minorHAnsi" w:hAnsiTheme="minorHAnsi"/>
        </w:rPr>
        <w:lastRenderedPageBreak/>
        <w:t xml:space="preserve">lietošanas un uzskaites uzraudzības pilnveidošana ĪJT. Lai īstenotu iepriekš minētās prioritātes tika pilnveidoti un precizēti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 xml:space="preserve">iekšējie normatīvie akti, izstrādājot metodiku, pārbaudes aktus un vadlīnijas konstatēto pārkāpumu izvērtēšanai un informācijas ievadīšanai KUVIS, kā arī veikta visu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 xml:space="preserve">reģionālo nodaļu inspektoru apmācība. </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Saskaņā ar VAAD 2012.gada 17.februāra rīkojumu Nr.32 “Par Mēslošanas līdzekļu uzraudzības jomas inspektoru kvalifikācijām, mācību programmu kvalifikācijas ieguvei un kvalifikācijas ieguves un uzturēšanas kārtību” tika izstrādāta ML jomas reģionālo nodaļu inspektoru kvalifikācijas ieguves un uzturēšanas kārtība. Reģionālo nodaļu inspektoru apmācību laikā, inspektori kārtoja kvalifikācijas eksāmenus kvalifikāciju ML3 (ML lietošanas un uzskaites uzraudzības inspektors) vai ML3SA (ML lietošanas un uzskaites uzraudzības SA inspektors) uzturēšanai vai ieguvei.</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Sadarbībā ar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Informācijas daļu un e-pakalpojumu vides izstrādātājiem notika darbs pie jauna pakalpojuma izstrādes – kultūraugu mēslošanas plānu kopsavilkuma iesniegšana elektroniski.</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2012.gada 25.oktobrī Lauku atbalsta dienesta (turpmāk - LAD) Audita departamenta pārstāvis iekšējā audita ietvaros novēroja VAAD veikto SA prasību pārbaudi. Uz publiskā pārskata sagatavošanas brīdi audita ziņojums par audita rezultātiem vēl nebija saņemts. </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Turpinājās sarakste ar LAD par 2010.gada Eiropas Komisijas audita aizrādījumiem, kā arī departamenta pārstāvis piedalījās šī audita rezultātu apspriešanā Briselē.</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Departaments iesaistījās arī 2012.gada Nitrātu direktīvas ziņojuma sagatavošanā.</w:t>
      </w:r>
    </w:p>
    <w:p w:rsidR="0068611C" w:rsidRPr="00DE56F4" w:rsidRDefault="0068611C" w:rsidP="0068611C">
      <w:pPr>
        <w:suppressAutoHyphens/>
        <w:jc w:val="both"/>
        <w:rPr>
          <w:lang w:eastAsia="ar-SA"/>
        </w:rPr>
      </w:pP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Pārskata periodā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saskaņā ar Ministru kabineta 2012.gada 14.februāra noteikumu Nr.112 "Noteikumi par valsts atbalstu lauksaimniecībai un tā piešķiršanas kārtību" 2.2.3.apakšpunktu tika piešķirti līdzekļi (Ls 45 135) monitoringam.</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Monitoringa ietvaros veiktie pasākumi 2012.gadā:</w:t>
      </w:r>
    </w:p>
    <w:p w:rsidR="0068611C" w:rsidRPr="0068611C" w:rsidRDefault="0068611C" w:rsidP="001234C1">
      <w:pPr>
        <w:pStyle w:val="ListParagraph"/>
        <w:widowControl w:val="0"/>
        <w:numPr>
          <w:ilvl w:val="0"/>
          <w:numId w:val="22"/>
        </w:numPr>
        <w:spacing w:before="120"/>
        <w:jc w:val="both"/>
        <w:rPr>
          <w:rFonts w:asciiTheme="minorHAnsi" w:hAnsiTheme="minorHAnsi"/>
        </w:rPr>
      </w:pPr>
      <w:r w:rsidRPr="0068611C">
        <w:rPr>
          <w:rFonts w:asciiTheme="minorHAnsi" w:hAnsiTheme="minorHAnsi"/>
        </w:rPr>
        <w:t>- ĪJT 48 vietās divreiz gadā (pavasarī atjaunojoties kultūraugu veģetācijai un rudenī) trīs slāņos: 0-30 cm, 30-60 cm un 60-90 cm dziļumā ņemti augsnes paraugi minerālā slāpekļa satura noteikšanai;</w:t>
      </w:r>
    </w:p>
    <w:p w:rsidR="0068611C" w:rsidRPr="0068611C" w:rsidRDefault="0068611C" w:rsidP="001234C1">
      <w:pPr>
        <w:pStyle w:val="ListParagraph"/>
        <w:widowControl w:val="0"/>
        <w:numPr>
          <w:ilvl w:val="0"/>
          <w:numId w:val="22"/>
        </w:numPr>
        <w:spacing w:before="120"/>
        <w:jc w:val="both"/>
        <w:rPr>
          <w:rFonts w:asciiTheme="minorHAnsi" w:hAnsiTheme="minorHAnsi"/>
        </w:rPr>
      </w:pPr>
      <w:r w:rsidRPr="0068611C">
        <w:rPr>
          <w:rFonts w:asciiTheme="minorHAnsi" w:hAnsiTheme="minorHAnsi"/>
        </w:rPr>
        <w:t>- SIA „Vides audits” laboratorijā noteikts minerālā slāpekļa saturs 288 augsnes paraugos (144 paraugos pavasarī un 144 paraugos rudenī): nitrātu slāpeklis (mg/kg N-NO3) un amonija slāpeklis (mg/kg N-NH4) saskaņā ar LVS ISO 14256-2 metodi un mitrums (%) saskaņā ar LVS ISO 11456+TC1 metodi;</w:t>
      </w:r>
    </w:p>
    <w:p w:rsidR="0068611C" w:rsidRPr="0068611C" w:rsidRDefault="0068611C" w:rsidP="001234C1">
      <w:pPr>
        <w:pStyle w:val="ListParagraph"/>
        <w:widowControl w:val="0"/>
        <w:numPr>
          <w:ilvl w:val="0"/>
          <w:numId w:val="22"/>
        </w:numPr>
        <w:spacing w:before="120"/>
        <w:jc w:val="both"/>
        <w:rPr>
          <w:rFonts w:asciiTheme="minorHAnsi" w:hAnsiTheme="minorHAnsi"/>
        </w:rPr>
      </w:pPr>
      <w:r w:rsidRPr="0068611C">
        <w:rPr>
          <w:rFonts w:asciiTheme="minorHAnsi" w:hAnsiTheme="minorHAnsi"/>
        </w:rPr>
        <w:t>- augsnes minerālā slāpekļa datu bāze papildināta ar informāciju par minerālā slāpekļa saturu augsnē pavasarī atjaunojoties kultūraugu veģetācijai un rudenī, lauku vēstures datiem (audzētie kultūraugi, plānotā un iegūtā raža, izmantotais mēslojums, t.sk., organiskie un minerālmēsli, to devas un iestrādātie augu barības elementi) un VSIA ,,Latvijas Vides, ģeoloģijas un meteoroloģijas centrs” informāciju par nokrišņiem 5 meteoroloģiskajās stacijās, gaisa vidējo temperatūru 4 meteoroloģiskajās stacijās un augsnes temperatūru 20 cm dziļumā vienā meteoroloģiskajā stacijā.</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Tika izpildīts monitoringā plānotais: monitoringa objektu skaits un analizēto paraugu skaits. Monitoringa rezultātā tika sniegtas rekomendācijas slāpekļa normu korekcijai 2012.gada pavasara papildmēslojumam. Rekomendācijas tika ievietotas </w:t>
      </w:r>
      <w:r w:rsidR="004B6E67">
        <w:rPr>
          <w:rFonts w:asciiTheme="minorHAnsi" w:hAnsiTheme="minorHAnsi"/>
        </w:rPr>
        <w:t>VAAD</w:t>
      </w:r>
      <w:r w:rsidR="004B6E67" w:rsidRPr="0068611C">
        <w:rPr>
          <w:rFonts w:asciiTheme="minorHAnsi" w:hAnsiTheme="minorHAnsi"/>
        </w:rPr>
        <w:t xml:space="preserve"> </w:t>
      </w:r>
      <w:r w:rsidRPr="0068611C">
        <w:rPr>
          <w:rFonts w:asciiTheme="minorHAnsi" w:hAnsiTheme="minorHAnsi"/>
        </w:rPr>
        <w:t xml:space="preserve">mājaslapā un publicētas žurnālā lauksaimniekiem “Saimnieks LV”. Rekomendācijām bija vispārējs ieteikumu raksturs, jo, lai precīzi koriģētu slāpekļa normas, vajadzīgi dati par konkrētu lauku, jo minerālā slāpekļa daudzumu augsnē ietekmē ne tikai augsnes un meteoroloģiskie apstākļi, bet arī priekšaugs, </w:t>
      </w:r>
      <w:r w:rsidRPr="0068611C">
        <w:rPr>
          <w:rFonts w:asciiTheme="minorHAnsi" w:hAnsiTheme="minorHAnsi"/>
        </w:rPr>
        <w:lastRenderedPageBreak/>
        <w:t xml:space="preserve">iepriekšējā gada mēslojums u.c. faktori. </w:t>
      </w:r>
    </w:p>
    <w:p w:rsidR="0068611C" w:rsidRPr="0068611C" w:rsidRDefault="0068611C" w:rsidP="0068611C">
      <w:pPr>
        <w:widowControl w:val="0"/>
        <w:shd w:val="clear" w:color="auto" w:fill="EAF1DD" w:themeFill="accent3" w:themeFillTint="33"/>
        <w:spacing w:before="120"/>
        <w:jc w:val="both"/>
        <w:rPr>
          <w:rFonts w:asciiTheme="minorHAnsi" w:hAnsiTheme="minorHAnsi"/>
          <w:sz w:val="28"/>
        </w:rPr>
      </w:pPr>
      <w:r w:rsidRPr="0068611C">
        <w:rPr>
          <w:rFonts w:asciiTheme="minorHAnsi" w:hAnsiTheme="minorHAnsi"/>
          <w:sz w:val="28"/>
        </w:rPr>
        <w:t>Sniegtie pakalpojumi, piemēram, zemnieku apmācības, augu aizsardzības līdzekļu reģistrācija u.c.</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 xml:space="preserve">2012.gada 14.novembrī departamenta pārstāvis kā lektors ar prezentāciju “Mēslošanas līdzekļu lietošanas prasību ievērošana saimniecībās” piedalījās SIA “Latvijas Lauku konsultāciju un izglītības centrs” (turpmāk - LLKC) organizētajās augkopības konsultantu mācībās Ozolniekos </w:t>
      </w:r>
    </w:p>
    <w:p w:rsidR="0068611C" w:rsidRPr="0068611C" w:rsidRDefault="0068611C" w:rsidP="0068611C">
      <w:pPr>
        <w:widowControl w:val="0"/>
        <w:spacing w:before="120"/>
        <w:jc w:val="both"/>
        <w:rPr>
          <w:rFonts w:asciiTheme="minorHAnsi" w:hAnsiTheme="minorHAnsi"/>
        </w:rPr>
      </w:pPr>
      <w:r w:rsidRPr="0068611C">
        <w:rPr>
          <w:rFonts w:asciiTheme="minorHAnsi" w:hAnsiTheme="minorHAnsi"/>
        </w:rPr>
        <w:t>ML lietošanas un uzskaites uzraudzība nav saistīta ar pakalpojumu sniegšanu un zemnieku apmācību. ML plānu sastādīšana un zemnieku apmācība ir citu institūciju, piemēram, LLKC, Integrētās audzēšanas skolas u.c. kompetencē.</w:t>
      </w:r>
    </w:p>
    <w:p w:rsidR="001234C1" w:rsidRPr="00FB79D4" w:rsidRDefault="001234C1">
      <w:pPr>
        <w:rPr>
          <w:rFonts w:asciiTheme="minorHAnsi" w:hAnsiTheme="minorHAnsi"/>
          <w:sz w:val="8"/>
          <w:szCs w:val="8"/>
        </w:rPr>
      </w:pPr>
    </w:p>
    <w:p w:rsidR="0068611C" w:rsidRDefault="0068611C" w:rsidP="001234C1">
      <w:pPr>
        <w:widowControl w:val="0"/>
        <w:shd w:val="clear" w:color="auto" w:fill="EAF1DD" w:themeFill="accent3" w:themeFillTint="33"/>
        <w:spacing w:before="120"/>
        <w:jc w:val="both"/>
        <w:rPr>
          <w:rFonts w:asciiTheme="minorHAnsi" w:hAnsiTheme="minorHAnsi"/>
          <w:sz w:val="28"/>
        </w:rPr>
      </w:pPr>
      <w:r w:rsidRPr="001234C1">
        <w:rPr>
          <w:rFonts w:asciiTheme="minorHAnsi" w:hAnsiTheme="minorHAnsi"/>
          <w:sz w:val="28"/>
        </w:rPr>
        <w:t>Normatīvo aktu ievērošanas uzraudzība un kontrole</w:t>
      </w:r>
    </w:p>
    <w:p w:rsidR="001234C1" w:rsidRPr="00FB79D4" w:rsidRDefault="001234C1" w:rsidP="001234C1">
      <w:pPr>
        <w:widowControl w:val="0"/>
        <w:spacing w:before="120"/>
        <w:jc w:val="both"/>
        <w:rPr>
          <w:rFonts w:asciiTheme="minorHAnsi" w:hAnsiTheme="minorHAnsi"/>
          <w:sz w:val="4"/>
          <w:szCs w:val="4"/>
        </w:rPr>
      </w:pPr>
    </w:p>
    <w:p w:rsidR="0068611C" w:rsidRPr="001234C1" w:rsidRDefault="0068611C" w:rsidP="001234C1">
      <w:pPr>
        <w:widowControl w:val="0"/>
        <w:shd w:val="clear" w:color="auto" w:fill="EAF1DD" w:themeFill="accent3" w:themeFillTint="33"/>
        <w:spacing w:before="120"/>
        <w:jc w:val="both"/>
        <w:rPr>
          <w:rFonts w:asciiTheme="minorHAnsi" w:hAnsiTheme="minorHAnsi"/>
          <w:sz w:val="28"/>
        </w:rPr>
      </w:pPr>
      <w:r w:rsidRPr="001234C1">
        <w:rPr>
          <w:rFonts w:asciiTheme="minorHAnsi" w:hAnsiTheme="minorHAnsi"/>
          <w:sz w:val="28"/>
        </w:rPr>
        <w:t>Veikto pārbaužu skaits, to veidi un rezultāti, analīze, secinājumi, prognozes. Par normatīvo aktu prasību pārkāpumiem piemērotās sankcijas, administratīvo pārkāpumu lietās uzliktie naudas sodi un pārsūdzētie lēmumi, analīze, secinājumi un prognozes</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2012.gadā SA ietvaros ĪJT bija plānots veikt 110 ML lietošanas un uzskaites pārbaudes: Zemgales reģionālajā nodaļā (ZRN) - 78, Vispārējās uzraudzības un Rīgas reģionālajā nodaļā (VURRN) – 32.</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Faktiski veikta 91 pārbaude, kas ir 84 % no plānotā. Saskaņā ar SA normatīvajiem aktiem, pārbaudes ir jāveic saimniecībās, kas atlasītas gan pēc augu aizsardzības līdzekļu lietošanas, gan ML lietošanas un uzskaites kritērijiem. Plāna neizpilde skaidrojama ar to, ka tika atlasīts mazāks skaits minētajiem ML kritērijiem atbilstošu saimniecību, kas apsaimnieko platības ĪJT.</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ZRN tika veiktas arī 27 atkārtotās pārbaudes, pamatojoties uz 2011.gada pārbaudēs konstatētajiem maznozīmīgajiem pārkāpumiem.</w:t>
      </w:r>
    </w:p>
    <w:p w:rsidR="0068611C" w:rsidRPr="00DE56F4" w:rsidRDefault="0068611C" w:rsidP="0068611C">
      <w:pPr>
        <w:suppressAutoHyphens/>
        <w:ind w:firstLine="720"/>
        <w:jc w:val="center"/>
        <w:rPr>
          <w:b/>
          <w:sz w:val="22"/>
          <w:szCs w:val="22"/>
          <w:lang w:eastAsia="ar-SA"/>
        </w:rPr>
      </w:pPr>
    </w:p>
    <w:p w:rsidR="0068611C" w:rsidRPr="001234C1" w:rsidRDefault="0068611C" w:rsidP="001234C1">
      <w:pPr>
        <w:shd w:val="clear" w:color="auto" w:fill="DAEEF3" w:themeFill="accent5" w:themeFillTint="33"/>
        <w:jc w:val="both"/>
        <w:rPr>
          <w:rFonts w:asciiTheme="minorHAnsi" w:hAnsiTheme="minorHAnsi"/>
        </w:rPr>
      </w:pPr>
      <w:r w:rsidRPr="001234C1">
        <w:rPr>
          <w:rFonts w:asciiTheme="minorHAnsi" w:hAnsiTheme="minorHAnsi"/>
        </w:rPr>
        <w:t>Mēslošanas līdzekļu lietošanas un uzskaites SA pārbaužu rezultāti 2012.gadā</w:t>
      </w:r>
    </w:p>
    <w:p w:rsidR="0068611C" w:rsidRPr="00DE56F4" w:rsidRDefault="0068611C" w:rsidP="0068611C">
      <w:pPr>
        <w:suppressAutoHyphens/>
        <w:jc w:val="both"/>
        <w:rPr>
          <w:lang w:eastAsia="ar-SA"/>
        </w:rPr>
      </w:pPr>
    </w:p>
    <w:tbl>
      <w:tblPr>
        <w:tblW w:w="0" w:type="auto"/>
        <w:tblBorders>
          <w:top w:val="single" w:sz="8" w:space="0" w:color="31849B" w:themeColor="accent5" w:themeShade="BF"/>
          <w:bottom w:val="single" w:sz="8" w:space="0" w:color="31849B" w:themeColor="accent5" w:themeShade="BF"/>
          <w:insideH w:val="single" w:sz="8" w:space="0" w:color="31849B" w:themeColor="accent5" w:themeShade="BF"/>
        </w:tblBorders>
        <w:tblLayout w:type="fixed"/>
        <w:tblLook w:val="0000" w:firstRow="0" w:lastRow="0" w:firstColumn="0" w:lastColumn="0" w:noHBand="0" w:noVBand="0"/>
      </w:tblPr>
      <w:tblGrid>
        <w:gridCol w:w="2931"/>
        <w:gridCol w:w="1390"/>
        <w:gridCol w:w="1541"/>
        <w:gridCol w:w="1771"/>
      </w:tblGrid>
      <w:tr w:rsidR="0068611C" w:rsidRPr="00FB79D4" w:rsidTr="001234C1">
        <w:tc>
          <w:tcPr>
            <w:tcW w:w="2931" w:type="dxa"/>
            <w:vMerge w:val="restart"/>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r w:rsidRPr="00FB79D4">
              <w:rPr>
                <w:rFonts w:asciiTheme="minorHAnsi" w:hAnsiTheme="minorHAnsi"/>
                <w:b/>
                <w:sz w:val="20"/>
                <w:szCs w:val="20"/>
              </w:rPr>
              <w:t>Rādītājs</w:t>
            </w:r>
          </w:p>
        </w:tc>
        <w:tc>
          <w:tcPr>
            <w:tcW w:w="4702" w:type="dxa"/>
            <w:gridSpan w:val="3"/>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r w:rsidRPr="00FB79D4">
              <w:rPr>
                <w:rFonts w:asciiTheme="minorHAnsi" w:hAnsiTheme="minorHAnsi"/>
                <w:b/>
                <w:sz w:val="20"/>
                <w:szCs w:val="20"/>
              </w:rPr>
              <w:t>Pārbaužu skaits</w:t>
            </w:r>
          </w:p>
        </w:tc>
      </w:tr>
      <w:tr w:rsidR="0068611C" w:rsidRPr="00FB79D4" w:rsidTr="001234C1">
        <w:tc>
          <w:tcPr>
            <w:tcW w:w="2931" w:type="dxa"/>
            <w:vMerge/>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r w:rsidRPr="00FB79D4">
              <w:rPr>
                <w:rFonts w:asciiTheme="minorHAnsi" w:hAnsiTheme="minorHAnsi"/>
                <w:b/>
                <w:sz w:val="20"/>
                <w:szCs w:val="20"/>
              </w:rPr>
              <w:t>ZRN</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r w:rsidRPr="00FB79D4">
              <w:rPr>
                <w:rFonts w:asciiTheme="minorHAnsi" w:hAnsiTheme="minorHAnsi"/>
                <w:b/>
                <w:sz w:val="20"/>
                <w:szCs w:val="20"/>
              </w:rPr>
              <w:t>VURRN</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b/>
                <w:sz w:val="20"/>
                <w:szCs w:val="20"/>
              </w:rPr>
            </w:pPr>
            <w:r w:rsidRPr="00FB79D4">
              <w:rPr>
                <w:rFonts w:asciiTheme="minorHAnsi" w:hAnsiTheme="minorHAnsi"/>
                <w:b/>
                <w:sz w:val="20"/>
                <w:szCs w:val="20"/>
              </w:rPr>
              <w:t>Kopā</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1.Plānotais pārbaužu skaits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78</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32</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110</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 xml:space="preserve">2. Faktiskais pārbaužu skaits kopā </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65</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26</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91</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3. Atkārtotās pārbaudes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27</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0</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27</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4. NA prasība nav izpildīta (brīdinājums)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17</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13</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30</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5. NA prasība nav izpildīta (samazinājums)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16</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0</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12</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5.1. pirmreizējās pārbaudes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12</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0</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12</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5.2. atkārtotās pārbaudes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4</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0</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4</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6. NA prasība ir izpildīta</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59</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13</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72</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6.1. pirmreizējās pārbaudes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36</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13</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49</w:t>
            </w:r>
          </w:p>
        </w:tc>
      </w:tr>
      <w:tr w:rsidR="0068611C" w:rsidRPr="00FB79D4" w:rsidTr="001234C1">
        <w:tc>
          <w:tcPr>
            <w:tcW w:w="2931" w:type="dxa"/>
            <w:shd w:val="clear" w:color="auto" w:fill="auto"/>
          </w:tcPr>
          <w:p w:rsidR="0068611C" w:rsidRPr="00FB79D4" w:rsidRDefault="0068611C" w:rsidP="001234C1">
            <w:pPr>
              <w:widowControl w:val="0"/>
              <w:spacing w:line="285" w:lineRule="auto"/>
              <w:rPr>
                <w:rFonts w:asciiTheme="minorHAnsi" w:hAnsiTheme="minorHAnsi"/>
                <w:sz w:val="20"/>
                <w:szCs w:val="20"/>
              </w:rPr>
            </w:pPr>
            <w:r w:rsidRPr="00FB79D4">
              <w:rPr>
                <w:rFonts w:asciiTheme="minorHAnsi" w:hAnsiTheme="minorHAnsi"/>
                <w:sz w:val="20"/>
                <w:szCs w:val="20"/>
              </w:rPr>
              <w:t>6.2. atkārtotās pārbaudes</w:t>
            </w:r>
          </w:p>
        </w:tc>
        <w:tc>
          <w:tcPr>
            <w:tcW w:w="1390"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23</w:t>
            </w:r>
          </w:p>
        </w:tc>
        <w:tc>
          <w:tcPr>
            <w:tcW w:w="154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0</w:t>
            </w:r>
          </w:p>
        </w:tc>
        <w:tc>
          <w:tcPr>
            <w:tcW w:w="1771" w:type="dxa"/>
            <w:shd w:val="clear" w:color="auto" w:fill="auto"/>
          </w:tcPr>
          <w:p w:rsidR="0068611C" w:rsidRPr="00FB79D4" w:rsidRDefault="0068611C" w:rsidP="001234C1">
            <w:pPr>
              <w:widowControl w:val="0"/>
              <w:spacing w:line="285" w:lineRule="auto"/>
              <w:jc w:val="center"/>
              <w:rPr>
                <w:rFonts w:asciiTheme="minorHAnsi" w:hAnsiTheme="minorHAnsi"/>
                <w:sz w:val="20"/>
                <w:szCs w:val="20"/>
              </w:rPr>
            </w:pPr>
            <w:r w:rsidRPr="00FB79D4">
              <w:rPr>
                <w:rFonts w:asciiTheme="minorHAnsi" w:hAnsiTheme="minorHAnsi"/>
                <w:sz w:val="20"/>
                <w:szCs w:val="20"/>
              </w:rPr>
              <w:t>23</w:t>
            </w:r>
          </w:p>
        </w:tc>
      </w:tr>
    </w:tbl>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lastRenderedPageBreak/>
        <w:t xml:space="preserve">Sakarā ar grozījumiem LAPK par ML lietošanas un uzskaites pārkāpumiem tika uzsākta administratīvo sodu piemērošana, kā arī konstatētie pārkāpumi SA pārbaužu laikā tika izvērtēti saskaņā ar iespējamo kaitējumu videi un saskaņā ar departamenta izstrādātajām vadlīnijām personai tika izteikts brīdinājums vai piešķirti atbalsta samazinājuma punkti. </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No SA ietvaros veiktās 91 pārbaudes prasības ievērotas 49 saimniecībās jeb 54 % saimniecību (2011.gadā – 52 %), maznozīmīgi pārkāpumi konstatēti 30 saimniecībās jeb 33 % (2011.gadā – 31 %), taču samazinājuma punkti piešķirti 12 gadījumos jeb 13 % (2011.gadā – 18 %). Visos gadījumos, kad personām konstatēti būtiski pārkāpumi, to nozīmīgums, apmērs un pastāvība novērtēta ar 1-1-1.</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Līdz ar to jāsecina, ka salīdzinājumā ar 2011.gadu ir samazinājies būtisko pārkāpumu skaits, taču nedaudz pieaudzis to gadījumu skaits, kad konstatēti maznozīmīgi pārkāpumi, tomēr situācija ĪJT ar ML lietošanas un uzskaites normu ievērošanu ir uzlabojusies, to apstiprina arī atkārtoto pārbaužu rezultātu statistika – 23 saimniecībās jeb 85 % maznozīmīgie pārkāpumi bija novērsti (2011.gadā – 53 %).</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 xml:space="preserve">Pamatojoties uz SA pārbaužu rezultātiem 2012.gadā ierosinātas 17 administratīvo pārkāpumu lietas (turpmāk – APL) par LAPK 88.10 pantā minēto prasību pārkāpumiem. 16 APL ierosinātas ZRN, viena – VURRN. Divās APL kā soda mērs personai piešķirts brīdinājums, taču 15 APL piemēroti naudas sodi kopsummā par 1250 LVL. Neviena APL netika pārsūdzēta. </w:t>
      </w:r>
    </w:p>
    <w:p w:rsidR="0068611C" w:rsidRPr="001234C1" w:rsidRDefault="0068611C" w:rsidP="001234C1">
      <w:pPr>
        <w:widowControl w:val="0"/>
        <w:spacing w:before="120"/>
        <w:jc w:val="both"/>
        <w:rPr>
          <w:rFonts w:asciiTheme="minorHAnsi" w:hAnsiTheme="minorHAnsi"/>
        </w:rPr>
      </w:pPr>
      <w:r w:rsidRPr="001234C1">
        <w:rPr>
          <w:rFonts w:asciiTheme="minorHAnsi" w:hAnsiTheme="minorHAnsi"/>
        </w:rPr>
        <w:t>2012.gadā papildus ML lietošanas un uzskaites pārbaudēm SA ietvaros, visā Latvijā tika turpinātas arī pārbaudes pamatojoties uz personu iesniegumiem (sūdzībām). Kopumā 2011.gadā tika saņemtas 10 sūdzības par iespējamu normatīvo aktu prasībām neatbilstošu ML lietošanu: pa vienai – VURRN, Kurzemes reģionālajā nodaļā un Latgales reģionālajā nodaļā, 7 – ZRN. VURRN izskatītā APL tika pārsūtīta Valsts vides dienestam (naudas sods – 50 LVL), jo nebija vēl stājušies spēkā grozījumi LAPK, taču 4 gadījumos, pārbaudes veicot ZRN inspektoriem, ierosinātas APL pamatojoties uz LAPK 88.6 pantā minēto prasību pārkāpumiem, piemērojot naudas sodus kopsummā par 320 LVL (viena APL tiks izskatīta 2013.gada janvārī).</w:t>
      </w:r>
    </w:p>
    <w:p w:rsidR="0068611C" w:rsidRPr="00DE56F4" w:rsidRDefault="0068611C" w:rsidP="0068611C">
      <w:pPr>
        <w:suppressAutoHyphens/>
        <w:ind w:firstLine="720"/>
        <w:jc w:val="both"/>
        <w:rPr>
          <w:bCs/>
          <w:lang w:eastAsia="ar-SA"/>
        </w:rPr>
      </w:pPr>
    </w:p>
    <w:p w:rsidR="0068611C" w:rsidRPr="001234C1" w:rsidRDefault="004A3B88" w:rsidP="001234C1">
      <w:pPr>
        <w:widowControl w:val="0"/>
        <w:shd w:val="clear" w:color="auto" w:fill="EAF1DD" w:themeFill="accent3" w:themeFillTint="33"/>
        <w:spacing w:before="120"/>
        <w:jc w:val="both"/>
        <w:rPr>
          <w:rFonts w:asciiTheme="minorHAnsi" w:hAnsiTheme="minorHAnsi"/>
          <w:sz w:val="28"/>
        </w:rPr>
      </w:pPr>
      <w:r w:rsidRPr="001234C1">
        <w:rPr>
          <w:rFonts w:asciiTheme="minorHAnsi" w:hAnsiTheme="minorHAnsi"/>
          <w:sz w:val="28"/>
        </w:rPr>
        <w:t xml:space="preserve">Novērsto </w:t>
      </w:r>
      <w:r w:rsidR="0068611C" w:rsidRPr="001234C1">
        <w:rPr>
          <w:rFonts w:asciiTheme="minorHAnsi" w:hAnsiTheme="minorHAnsi"/>
          <w:sz w:val="28"/>
        </w:rPr>
        <w:t>pārkāpumu skaits un to veidi</w:t>
      </w:r>
    </w:p>
    <w:p w:rsidR="0068611C" w:rsidRDefault="0068611C" w:rsidP="001234C1">
      <w:pPr>
        <w:widowControl w:val="0"/>
        <w:spacing w:before="120"/>
        <w:jc w:val="both"/>
        <w:rPr>
          <w:rFonts w:asciiTheme="minorHAnsi" w:hAnsiTheme="minorHAnsi"/>
        </w:rPr>
      </w:pPr>
      <w:r w:rsidRPr="001234C1">
        <w:rPr>
          <w:rFonts w:asciiTheme="minorHAnsi" w:hAnsiTheme="minorHAnsi"/>
        </w:rPr>
        <w:t xml:space="preserve">Veicot operatīvās ML lietošanas un uzskaites pārbaudes visā Latvijas teritorijā, 2 gadījumos </w:t>
      </w:r>
      <w:r w:rsidR="004B6E67">
        <w:rPr>
          <w:rFonts w:asciiTheme="minorHAnsi" w:hAnsiTheme="minorHAnsi"/>
        </w:rPr>
        <w:t>VAAD</w:t>
      </w:r>
      <w:r w:rsidR="004B6E67" w:rsidRPr="001234C1">
        <w:rPr>
          <w:rFonts w:asciiTheme="minorHAnsi" w:hAnsiTheme="minorHAnsi"/>
        </w:rPr>
        <w:t xml:space="preserve"> </w:t>
      </w:r>
      <w:r w:rsidRPr="001234C1">
        <w:rPr>
          <w:rFonts w:asciiTheme="minorHAnsi" w:hAnsiTheme="minorHAnsi"/>
        </w:rPr>
        <w:t>inspektori konstatējuši ML izkliedi pa augsni, kas klāta ar sniegu (Noteikumu 3.1.1.apakšpunkts), 3 gadījumos – šķidrie kūtsmēsli pēc izkliedēšanas nav iestrādāti augsnē 12 stundu laikā (Noteikumu 3.3.6.apakšpunkts).</w:t>
      </w:r>
    </w:p>
    <w:p w:rsidR="001234C1" w:rsidRPr="001234C1" w:rsidRDefault="001234C1" w:rsidP="001234C1">
      <w:pPr>
        <w:widowControl w:val="0"/>
        <w:spacing w:before="120"/>
        <w:jc w:val="both"/>
        <w:rPr>
          <w:rFonts w:asciiTheme="minorHAnsi" w:hAnsiTheme="minorHAnsi"/>
        </w:rPr>
      </w:pPr>
    </w:p>
    <w:p w:rsidR="0068611C" w:rsidRDefault="0068611C" w:rsidP="001234C1">
      <w:pPr>
        <w:shd w:val="clear" w:color="auto" w:fill="DAEEF3" w:themeFill="accent5" w:themeFillTint="33"/>
        <w:jc w:val="both"/>
        <w:rPr>
          <w:rFonts w:asciiTheme="minorHAnsi" w:hAnsiTheme="minorHAnsi"/>
        </w:rPr>
      </w:pPr>
      <w:r w:rsidRPr="001234C1">
        <w:rPr>
          <w:rFonts w:asciiTheme="minorHAnsi" w:hAnsiTheme="minorHAnsi"/>
        </w:rPr>
        <w:t>Mēslošanas līdzekļu lietošanas un uzskaites SA pārbaudēs konstatēto pārkāpumu skaits un to veidi 2012.gadā</w:t>
      </w:r>
    </w:p>
    <w:p w:rsidR="001234C1" w:rsidRPr="001234C1" w:rsidRDefault="001234C1" w:rsidP="001234C1">
      <w:pPr>
        <w:jc w:val="both"/>
        <w:rPr>
          <w:rFonts w:asciiTheme="minorHAnsi" w:hAnsiTheme="minorHAnsi"/>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5442"/>
        <w:gridCol w:w="1237"/>
      </w:tblGrid>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b/>
                <w:sz w:val="20"/>
                <w:szCs w:val="20"/>
              </w:rPr>
            </w:pPr>
            <w:r w:rsidRPr="00FB79D4">
              <w:rPr>
                <w:rFonts w:asciiTheme="minorHAnsi" w:hAnsiTheme="minorHAnsi"/>
                <w:b/>
                <w:sz w:val="20"/>
                <w:szCs w:val="20"/>
              </w:rPr>
              <w:t>Pārkāpums</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b/>
                <w:sz w:val="20"/>
                <w:szCs w:val="20"/>
              </w:rPr>
            </w:pPr>
            <w:r w:rsidRPr="00FB79D4">
              <w:rPr>
                <w:rFonts w:asciiTheme="minorHAnsi" w:hAnsiTheme="minorHAnsi"/>
                <w:b/>
                <w:sz w:val="20"/>
                <w:szCs w:val="20"/>
              </w:rPr>
              <w:t>Konstatējumu skaits</w:t>
            </w:r>
          </w:p>
        </w:tc>
      </w:tr>
      <w:tr w:rsidR="00FB79D4" w:rsidRPr="00FB79D4" w:rsidTr="001234C1">
        <w:tc>
          <w:tcPr>
            <w:tcW w:w="6679" w:type="dxa"/>
            <w:gridSpan w:val="2"/>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Maznozīmīgie pārkāpumi (30 personām)</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Mēslošanas plānu (turpmāk -MP) kopsavilkums nav iesniegts termiņā</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21</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Augšņu agroķīmiskā izpēte (turpmāk – AAI) nav veikta 1.gada nomas laukiem</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11</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AAI dati ir vecāki par 6 gadiem</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7</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lastRenderedPageBreak/>
              <w:t>AAI nav veikta, bet persona var uzrādīt augsnes analīžu datus</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2</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MP nav saskaņā ar Noteikumu 3.pielikuma I nodaļu</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2</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&lt; 50 % zaļo platību</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2</w:t>
            </w:r>
          </w:p>
        </w:tc>
      </w:tr>
      <w:tr w:rsidR="00FB79D4" w:rsidRPr="00FB79D4" w:rsidTr="00FB79D4">
        <w:tc>
          <w:tcPr>
            <w:tcW w:w="5442"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Lauku vēsture netiek glabāta 3 gadus</w:t>
            </w:r>
          </w:p>
        </w:tc>
        <w:tc>
          <w:tcPr>
            <w:tcW w:w="1237" w:type="dxa"/>
            <w:tcBorders>
              <w:top w:val="single" w:sz="8" w:space="0" w:color="31849B" w:themeColor="accent5" w:themeShade="BF"/>
              <w:bottom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1</w:t>
            </w:r>
          </w:p>
        </w:tc>
      </w:tr>
      <w:tr w:rsidR="00FB79D4" w:rsidRPr="00FB79D4" w:rsidTr="001234C1">
        <w:tc>
          <w:tcPr>
            <w:tcW w:w="6679" w:type="dxa"/>
            <w:gridSpan w:val="2"/>
            <w:tcBorders>
              <w:top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Būtiskie pārkāpumi (12 personām)</w:t>
            </w:r>
          </w:p>
        </w:tc>
      </w:tr>
      <w:tr w:rsidR="00FB79D4" w:rsidRPr="00FB79D4" w:rsidTr="00FB79D4">
        <w:tc>
          <w:tcPr>
            <w:tcW w:w="5442" w:type="dxa"/>
            <w:tcBorders>
              <w:top w:val="single" w:sz="8" w:space="0" w:color="31849B" w:themeColor="accent5" w:themeShade="BF"/>
            </w:tcBorders>
            <w:shd w:val="clear" w:color="auto" w:fill="auto"/>
          </w:tcPr>
          <w:p w:rsidR="0068611C" w:rsidRPr="00FB79D4" w:rsidRDefault="0068611C" w:rsidP="00FB79D4">
            <w:pPr>
              <w:widowControl w:val="0"/>
              <w:rPr>
                <w:rFonts w:asciiTheme="minorHAnsi" w:hAnsiTheme="minorHAnsi"/>
                <w:sz w:val="20"/>
                <w:szCs w:val="20"/>
              </w:rPr>
            </w:pPr>
            <w:r w:rsidRPr="00FB79D4">
              <w:rPr>
                <w:rFonts w:asciiTheme="minorHAnsi" w:hAnsiTheme="minorHAnsi"/>
                <w:sz w:val="20"/>
                <w:szCs w:val="20"/>
              </w:rPr>
              <w:t>Nav veikta AAI</w:t>
            </w:r>
          </w:p>
        </w:tc>
        <w:tc>
          <w:tcPr>
            <w:tcW w:w="1237" w:type="dxa"/>
            <w:tcBorders>
              <w:top w:val="single" w:sz="8" w:space="0" w:color="31849B" w:themeColor="accent5" w:themeShade="BF"/>
            </w:tcBorders>
            <w:shd w:val="clear" w:color="auto" w:fill="auto"/>
          </w:tcPr>
          <w:p w:rsidR="0068611C" w:rsidRPr="00FB79D4" w:rsidRDefault="0068611C" w:rsidP="00FB79D4">
            <w:pPr>
              <w:widowControl w:val="0"/>
              <w:jc w:val="center"/>
              <w:rPr>
                <w:rFonts w:asciiTheme="minorHAnsi" w:hAnsiTheme="minorHAnsi"/>
                <w:sz w:val="20"/>
                <w:szCs w:val="20"/>
              </w:rPr>
            </w:pPr>
            <w:r w:rsidRPr="00FB79D4">
              <w:rPr>
                <w:rFonts w:asciiTheme="minorHAnsi" w:hAnsiTheme="minorHAnsi"/>
                <w:sz w:val="20"/>
                <w:szCs w:val="20"/>
              </w:rPr>
              <w:t>12</w:t>
            </w:r>
          </w:p>
        </w:tc>
      </w:tr>
    </w:tbl>
    <w:p w:rsidR="006B11C2" w:rsidRPr="004E6BD8" w:rsidRDefault="00616B48" w:rsidP="00212C58">
      <w:pPr>
        <w:pStyle w:val="Heading2"/>
      </w:pPr>
      <w:r w:rsidRPr="00B068A9">
        <w:br w:type="page"/>
      </w:r>
      <w:bookmarkStart w:id="34" w:name="_Toc364414726"/>
      <w:bookmarkStart w:id="35" w:name="_Toc364414868"/>
      <w:bookmarkStart w:id="36" w:name="_Toc329957690"/>
      <w:bookmarkEnd w:id="30"/>
      <w:r w:rsidR="001234C1">
        <w:lastRenderedPageBreak/>
        <w:t>5. S</w:t>
      </w:r>
      <w:r w:rsidR="006B11C2" w:rsidRPr="001234C1">
        <w:t>abiedrības informēšana</w:t>
      </w:r>
      <w:bookmarkEnd w:id="34"/>
      <w:bookmarkEnd w:id="35"/>
      <w:r w:rsidR="006B11C2" w:rsidRPr="001234C1">
        <w:t xml:space="preserve"> </w:t>
      </w:r>
      <w:bookmarkEnd w:id="36"/>
    </w:p>
    <w:p w:rsidR="0016693F" w:rsidRDefault="0016693F" w:rsidP="0016693F">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5.1.</w:t>
      </w:r>
      <w:r w:rsidRPr="001234C1">
        <w:rPr>
          <w:rFonts w:asciiTheme="minorHAnsi" w:hAnsiTheme="minorHAnsi"/>
          <w:sz w:val="28"/>
        </w:rPr>
        <w:t xml:space="preserve"> </w:t>
      </w:r>
      <w:r>
        <w:rPr>
          <w:rFonts w:asciiTheme="minorHAnsi" w:hAnsiTheme="minorHAnsi"/>
          <w:sz w:val="28"/>
        </w:rPr>
        <w:t>Augu aizsardzības joma</w:t>
      </w:r>
    </w:p>
    <w:p w:rsidR="00324E38" w:rsidRPr="00324E38" w:rsidRDefault="00324E38" w:rsidP="00324E38">
      <w:pPr>
        <w:widowControl w:val="0"/>
        <w:spacing w:before="120"/>
        <w:jc w:val="both"/>
        <w:rPr>
          <w:rFonts w:asciiTheme="minorHAnsi" w:hAnsiTheme="minorHAnsi"/>
        </w:rPr>
      </w:pPr>
      <w:r w:rsidRPr="00324E38">
        <w:rPr>
          <w:rFonts w:asciiTheme="minorHAnsi" w:hAnsiTheme="minorHAnsi"/>
        </w:rPr>
        <w:t xml:space="preserve">Kultūraugiem kaitīgo </w:t>
      </w:r>
      <w:proofErr w:type="spellStart"/>
      <w:r w:rsidRPr="00324E38">
        <w:rPr>
          <w:rFonts w:asciiTheme="minorHAnsi" w:hAnsiTheme="minorHAnsi"/>
        </w:rPr>
        <w:t>nekarantīnas</w:t>
      </w:r>
      <w:proofErr w:type="spellEnd"/>
      <w:r w:rsidRPr="00324E38">
        <w:rPr>
          <w:rFonts w:asciiTheme="minorHAnsi" w:hAnsiTheme="minorHAnsi"/>
        </w:rPr>
        <w:t xml:space="preserve"> organismu monitoringa speciālisti visās </w:t>
      </w:r>
      <w:r>
        <w:rPr>
          <w:rFonts w:asciiTheme="minorHAnsi" w:hAnsiTheme="minorHAnsi"/>
        </w:rPr>
        <w:t>VAAD</w:t>
      </w:r>
      <w:r w:rsidRPr="00324E38">
        <w:rPr>
          <w:rFonts w:asciiTheme="minorHAnsi" w:hAnsiTheme="minorHAnsi"/>
        </w:rPr>
        <w:t xml:space="preserve"> reģionālajās nodaļās vajadzības gadījumā sniedza konsultācijas iedzīvotājiem gan telefoniski, gan birojā, gan izbraukumos. </w:t>
      </w:r>
      <w:r>
        <w:rPr>
          <w:rFonts w:asciiTheme="minorHAnsi" w:hAnsiTheme="minorHAnsi"/>
        </w:rPr>
        <w:t>V</w:t>
      </w:r>
      <w:r w:rsidRPr="00324E38">
        <w:rPr>
          <w:rFonts w:asciiTheme="minorHAnsi" w:hAnsiTheme="minorHAnsi"/>
        </w:rPr>
        <w:t>eikta kaitīgo organismu diagnosticēšana, sniegti padomi par kaitīgo organismu ierobežošanu, iegūta informācija par Latvijā agrāk nekonstatētiem vai reti sastopamiem kaitīgajiem organismiem.</w:t>
      </w:r>
    </w:p>
    <w:p w:rsidR="00324E38" w:rsidRDefault="00324E38" w:rsidP="00324E38">
      <w:pPr>
        <w:widowControl w:val="0"/>
        <w:spacing w:before="120"/>
        <w:jc w:val="both"/>
        <w:rPr>
          <w:rFonts w:asciiTheme="minorHAnsi" w:hAnsiTheme="minorHAnsi"/>
        </w:rPr>
      </w:pPr>
      <w:r w:rsidRPr="00324E38">
        <w:rPr>
          <w:rFonts w:asciiTheme="minorHAnsi" w:hAnsiTheme="minorHAnsi"/>
        </w:rPr>
        <w:t xml:space="preserve">NFL iesniegts 41 paraugs, vairumā gadījumu mazāk pazīstamu vai retāk sastopamu kaitīgo organismu diagnosticēšanai. </w:t>
      </w:r>
    </w:p>
    <w:p w:rsidR="00324E38" w:rsidRDefault="00324E38" w:rsidP="00324E38">
      <w:pPr>
        <w:widowControl w:val="0"/>
        <w:spacing w:before="120"/>
        <w:jc w:val="both"/>
        <w:rPr>
          <w:rFonts w:asciiTheme="minorHAnsi" w:hAnsiTheme="minorHAnsi"/>
        </w:rPr>
      </w:pPr>
      <w:r>
        <w:rPr>
          <w:rFonts w:asciiTheme="minorHAnsi" w:hAnsiTheme="minorHAnsi"/>
        </w:rPr>
        <w:t xml:space="preserve">VAAD </w:t>
      </w:r>
      <w:r w:rsidRPr="00324E38">
        <w:rPr>
          <w:rFonts w:asciiTheme="minorHAnsi" w:hAnsiTheme="minorHAnsi"/>
        </w:rPr>
        <w:t>mājas</w:t>
      </w:r>
      <w:r w:rsidR="00876579">
        <w:rPr>
          <w:rFonts w:asciiTheme="minorHAnsi" w:hAnsiTheme="minorHAnsi"/>
        </w:rPr>
        <w:t>lapai</w:t>
      </w:r>
      <w:r w:rsidRPr="00324E38">
        <w:rPr>
          <w:rFonts w:asciiTheme="minorHAnsi" w:hAnsiTheme="minorHAnsi"/>
        </w:rPr>
        <w:t xml:space="preserve"> sagatavoti 20 informatīvi materiāli par monitoringa rezultātiem kultūraugu aktīvās veģetācijas periodā un 15 brīdinājumi par kaitīgo organismu parādīšanos un attīstību. Lai informētu sabiedrību, kaitīgo organismu monitoringa speciālisti ir publicējuši informāciju (par kaitīgajiem organismiem, to bioloģiju, izplatību, ierobežošanas iespējām un prognozi nākamajam periodam </w:t>
      </w:r>
      <w:proofErr w:type="spellStart"/>
      <w:r w:rsidRPr="00324E38">
        <w:rPr>
          <w:rFonts w:asciiTheme="minorHAnsi" w:hAnsiTheme="minorHAnsi"/>
        </w:rPr>
        <w:t>utml</w:t>
      </w:r>
      <w:proofErr w:type="spellEnd"/>
      <w:r w:rsidRPr="00324E38">
        <w:rPr>
          <w:rFonts w:asciiTheme="minorHAnsi" w:hAnsiTheme="minorHAnsi"/>
        </w:rPr>
        <w:t xml:space="preserve">.) preses izdevumos – 49 raksti. Ir sniegtas intervijas - 11 preses izdevumiem un 5 - TV. </w:t>
      </w:r>
    </w:p>
    <w:p w:rsidR="006B11C2" w:rsidRDefault="00324E38" w:rsidP="00324E38">
      <w:pPr>
        <w:widowControl w:val="0"/>
        <w:spacing w:before="120"/>
        <w:jc w:val="both"/>
        <w:rPr>
          <w:rFonts w:asciiTheme="minorHAnsi" w:hAnsiTheme="minorHAnsi"/>
        </w:rPr>
      </w:pPr>
      <w:r w:rsidRPr="00324E38">
        <w:rPr>
          <w:rFonts w:asciiTheme="minorHAnsi" w:hAnsiTheme="minorHAnsi"/>
        </w:rPr>
        <w:t>Kaitīgo organismu monitoringa jomas speciālisti lasījuši 60 lekcijas zemnieku un augu aizsardzības lietotāju apmācībās un semināros, kā arī paaugstinājuši savu kvalifikāciju un ieguvuši jaunas zināšanas 19 semināros un lauku dienās</w:t>
      </w:r>
    </w:p>
    <w:p w:rsidR="0016693F" w:rsidRDefault="0016693F" w:rsidP="0016693F">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5.2.</w:t>
      </w:r>
      <w:r w:rsidRPr="001234C1">
        <w:rPr>
          <w:rFonts w:asciiTheme="minorHAnsi" w:hAnsiTheme="minorHAnsi"/>
          <w:sz w:val="28"/>
        </w:rPr>
        <w:t xml:space="preserve"> </w:t>
      </w:r>
      <w:r>
        <w:rPr>
          <w:rFonts w:asciiTheme="minorHAnsi" w:hAnsiTheme="minorHAnsi"/>
          <w:sz w:val="28"/>
        </w:rPr>
        <w:t>Augu karantīnas joma</w:t>
      </w:r>
    </w:p>
    <w:p w:rsidR="00803212" w:rsidRPr="00803212" w:rsidRDefault="00803212" w:rsidP="00803212">
      <w:pPr>
        <w:widowControl w:val="0"/>
        <w:spacing w:before="120"/>
        <w:jc w:val="both"/>
        <w:rPr>
          <w:rFonts w:asciiTheme="minorHAnsi" w:hAnsiTheme="minorHAnsi"/>
        </w:rPr>
      </w:pPr>
      <w:r>
        <w:rPr>
          <w:rFonts w:asciiTheme="minorHAnsi" w:hAnsiTheme="minorHAnsi"/>
        </w:rPr>
        <w:t>VAAD</w:t>
      </w:r>
      <w:r w:rsidRPr="00803212">
        <w:rPr>
          <w:rFonts w:asciiTheme="minorHAnsi" w:hAnsiTheme="minorHAnsi"/>
        </w:rPr>
        <w:t xml:space="preserve"> turpina sadarboties ar lauku attīstības speciālistiem, A/S „Latvijas valsts meži” un pašvaldībām. </w:t>
      </w:r>
    </w:p>
    <w:p w:rsidR="00803212" w:rsidRPr="00803212" w:rsidRDefault="00803212" w:rsidP="00803212">
      <w:pPr>
        <w:widowControl w:val="0"/>
        <w:spacing w:before="120"/>
        <w:jc w:val="both"/>
        <w:rPr>
          <w:rFonts w:asciiTheme="minorHAnsi" w:hAnsiTheme="minorHAnsi"/>
        </w:rPr>
      </w:pPr>
      <w:r>
        <w:rPr>
          <w:rFonts w:asciiTheme="minorHAnsi" w:hAnsiTheme="minorHAnsi"/>
        </w:rPr>
        <w:t>VAAD</w:t>
      </w:r>
      <w:r w:rsidRPr="00803212">
        <w:rPr>
          <w:rFonts w:asciiTheme="minorHAnsi" w:hAnsiTheme="minorHAnsi"/>
        </w:rPr>
        <w:t xml:space="preserve"> mājaslapā regulāri tiek ievietota aktuāla informācija par augu karantīnas jautājumiem. </w:t>
      </w:r>
    </w:p>
    <w:p w:rsidR="00803212" w:rsidRPr="00803212" w:rsidRDefault="00803212" w:rsidP="00803212">
      <w:pPr>
        <w:widowControl w:val="0"/>
        <w:spacing w:before="120"/>
        <w:jc w:val="both"/>
        <w:rPr>
          <w:rFonts w:asciiTheme="minorHAnsi" w:hAnsiTheme="minorHAnsi"/>
        </w:rPr>
      </w:pPr>
      <w:r w:rsidRPr="00803212">
        <w:rPr>
          <w:rFonts w:asciiTheme="minorHAnsi" w:hAnsiTheme="minorHAnsi"/>
        </w:rPr>
        <w:t xml:space="preserve">Pavasarī tika atgādināts par nepieciešamību izmantot stādīšanai sertificētu kartupeļu sēklu. </w:t>
      </w:r>
    </w:p>
    <w:p w:rsidR="00803212" w:rsidRPr="00803212" w:rsidRDefault="00803212" w:rsidP="00803212">
      <w:pPr>
        <w:widowControl w:val="0"/>
        <w:spacing w:before="120"/>
        <w:jc w:val="both"/>
        <w:rPr>
          <w:rFonts w:asciiTheme="minorHAnsi" w:hAnsiTheme="minorHAnsi"/>
        </w:rPr>
      </w:pPr>
      <w:r w:rsidRPr="00803212">
        <w:rPr>
          <w:rFonts w:asciiTheme="minorHAnsi" w:hAnsiTheme="minorHAnsi"/>
        </w:rPr>
        <w:t xml:space="preserve">Stājoties spēkā jaunajiem Ministru kabineta noteikumiem, sniegta informācija par fitosanitāro pasākumu piemērošanas kārtību koksnes iepakojamajam materiālam. Vasaras beigās sniegta informācija par situāciju ar bakteriālajām iedegām. </w:t>
      </w:r>
    </w:p>
    <w:p w:rsidR="00803212" w:rsidRPr="00803212" w:rsidRDefault="00803212" w:rsidP="00803212">
      <w:pPr>
        <w:widowControl w:val="0"/>
        <w:spacing w:before="120"/>
        <w:jc w:val="both"/>
        <w:rPr>
          <w:rFonts w:asciiTheme="minorHAnsi" w:hAnsiTheme="minorHAnsi"/>
        </w:rPr>
      </w:pPr>
      <w:r>
        <w:rPr>
          <w:rFonts w:asciiTheme="minorHAnsi" w:hAnsiTheme="minorHAnsi"/>
        </w:rPr>
        <w:t xml:space="preserve">VAAD </w:t>
      </w:r>
      <w:r w:rsidRPr="00803212">
        <w:rPr>
          <w:rFonts w:asciiTheme="minorHAnsi" w:hAnsiTheme="minorHAnsi"/>
        </w:rPr>
        <w:t xml:space="preserve">Mājaslapā tika ievietota par Latvijā pirmo reizi konstatēto augu karantīnas organismu – </w:t>
      </w:r>
      <w:proofErr w:type="spellStart"/>
      <w:r w:rsidRPr="00803212">
        <w:rPr>
          <w:rFonts w:asciiTheme="minorHAnsi" w:hAnsiTheme="minorHAnsi"/>
          <w:i/>
        </w:rPr>
        <w:t>Mycosphaerella</w:t>
      </w:r>
      <w:proofErr w:type="spellEnd"/>
      <w:r w:rsidRPr="00803212">
        <w:rPr>
          <w:rFonts w:asciiTheme="minorHAnsi" w:hAnsiTheme="minorHAnsi"/>
          <w:i/>
        </w:rPr>
        <w:t xml:space="preserve"> </w:t>
      </w:r>
      <w:proofErr w:type="spellStart"/>
      <w:r w:rsidRPr="00803212">
        <w:rPr>
          <w:rFonts w:asciiTheme="minorHAnsi" w:hAnsiTheme="minorHAnsi"/>
          <w:i/>
        </w:rPr>
        <w:t>dearnessii</w:t>
      </w:r>
      <w:proofErr w:type="spellEnd"/>
      <w:r w:rsidRPr="00803212">
        <w:rPr>
          <w:rFonts w:asciiTheme="minorHAnsi" w:hAnsiTheme="minorHAnsi"/>
        </w:rPr>
        <w:t xml:space="preserve"> priežu </w:t>
      </w:r>
      <w:proofErr w:type="spellStart"/>
      <w:r w:rsidRPr="00803212">
        <w:rPr>
          <w:rFonts w:asciiTheme="minorHAnsi" w:hAnsiTheme="minorHAnsi"/>
        </w:rPr>
        <w:t>brūnplankumu</w:t>
      </w:r>
      <w:proofErr w:type="spellEnd"/>
      <w:r w:rsidRPr="00803212">
        <w:rPr>
          <w:rFonts w:asciiTheme="minorHAnsi" w:hAnsiTheme="minorHAnsi"/>
        </w:rPr>
        <w:t xml:space="preserve"> skujbires izraisītāju.</w:t>
      </w:r>
    </w:p>
    <w:p w:rsidR="00803212" w:rsidRPr="00803212" w:rsidRDefault="00803212" w:rsidP="00803212">
      <w:pPr>
        <w:widowControl w:val="0"/>
        <w:spacing w:before="120"/>
        <w:jc w:val="both"/>
        <w:rPr>
          <w:rFonts w:asciiTheme="minorHAnsi" w:hAnsiTheme="minorHAnsi"/>
        </w:rPr>
      </w:pPr>
      <w:r w:rsidRPr="00803212">
        <w:rPr>
          <w:rFonts w:asciiTheme="minorHAnsi" w:hAnsiTheme="minorHAnsi"/>
        </w:rPr>
        <w:t xml:space="preserve">Sagatavota informācija </w:t>
      </w:r>
      <w:r>
        <w:rPr>
          <w:rFonts w:asciiTheme="minorHAnsi" w:hAnsiTheme="minorHAnsi"/>
        </w:rPr>
        <w:t>plašsaziņas līdzekļiem</w:t>
      </w:r>
      <w:r w:rsidRPr="00803212">
        <w:rPr>
          <w:rFonts w:asciiTheme="minorHAnsi" w:hAnsiTheme="minorHAnsi"/>
        </w:rPr>
        <w:t xml:space="preserve"> par latvāņ</w:t>
      </w:r>
      <w:r>
        <w:rPr>
          <w:rFonts w:asciiTheme="minorHAnsi" w:hAnsiTheme="minorHAnsi"/>
        </w:rPr>
        <w:t>u izplatību, tajā skaitā laikrakstiem (</w:t>
      </w:r>
      <w:r w:rsidRPr="00803212">
        <w:rPr>
          <w:rFonts w:asciiTheme="minorHAnsi" w:hAnsiTheme="minorHAnsi"/>
        </w:rPr>
        <w:t>„Latvijas Avīze”, „Rīgas Apriņķa Avīze”, „Diena”, u</w:t>
      </w:r>
      <w:r>
        <w:rPr>
          <w:rFonts w:asciiTheme="minorHAnsi" w:hAnsiTheme="minorHAnsi"/>
        </w:rPr>
        <w:t>.c.), kā arī LNT</w:t>
      </w:r>
      <w:r w:rsidRPr="00803212">
        <w:rPr>
          <w:rFonts w:asciiTheme="minorHAnsi" w:hAnsiTheme="minorHAnsi"/>
        </w:rPr>
        <w:t xml:space="preserve"> </w:t>
      </w:r>
      <w:r>
        <w:rPr>
          <w:rFonts w:asciiTheme="minorHAnsi" w:hAnsiTheme="minorHAnsi"/>
        </w:rPr>
        <w:t xml:space="preserve">raidījumam </w:t>
      </w:r>
      <w:r w:rsidRPr="00803212">
        <w:rPr>
          <w:rFonts w:asciiTheme="minorHAnsi" w:hAnsiTheme="minorHAnsi"/>
        </w:rPr>
        <w:t>-</w:t>
      </w:r>
      <w:r>
        <w:rPr>
          <w:rFonts w:asciiTheme="minorHAnsi" w:hAnsiTheme="minorHAnsi"/>
        </w:rPr>
        <w:t xml:space="preserve"> </w:t>
      </w:r>
      <w:r w:rsidRPr="00803212">
        <w:rPr>
          <w:rFonts w:asciiTheme="minorHAnsi" w:hAnsiTheme="minorHAnsi"/>
        </w:rPr>
        <w:t>„900 sekundes</w:t>
      </w:r>
      <w:r>
        <w:rPr>
          <w:rFonts w:asciiTheme="minorHAnsi" w:hAnsiTheme="minorHAnsi"/>
        </w:rPr>
        <w:t>”</w:t>
      </w:r>
      <w:r w:rsidRPr="00803212">
        <w:rPr>
          <w:rFonts w:asciiTheme="minorHAnsi" w:hAnsiTheme="minorHAnsi"/>
        </w:rPr>
        <w:t>, sniegti skaidrojumi sabiedrībai, atbildēts uz jautājumiem telefon</w:t>
      </w:r>
      <w:r>
        <w:rPr>
          <w:rFonts w:asciiTheme="minorHAnsi" w:hAnsiTheme="minorHAnsi"/>
        </w:rPr>
        <w:t>iski</w:t>
      </w:r>
      <w:r w:rsidRPr="00803212">
        <w:rPr>
          <w:rFonts w:asciiTheme="minorHAnsi" w:hAnsiTheme="minorHAnsi"/>
        </w:rPr>
        <w:t xml:space="preserve">. </w:t>
      </w:r>
      <w:r>
        <w:rPr>
          <w:rFonts w:asciiTheme="minorHAnsi" w:hAnsiTheme="minorHAnsi"/>
        </w:rPr>
        <w:t xml:space="preserve">Konsultēti </w:t>
      </w:r>
      <w:r w:rsidRPr="00803212">
        <w:rPr>
          <w:rFonts w:asciiTheme="minorHAnsi" w:hAnsiTheme="minorHAnsi"/>
        </w:rPr>
        <w:t>vairāki stude</w:t>
      </w:r>
      <w:r>
        <w:rPr>
          <w:rFonts w:asciiTheme="minorHAnsi" w:hAnsiTheme="minorHAnsi"/>
        </w:rPr>
        <w:t>nt</w:t>
      </w:r>
      <w:r w:rsidRPr="00803212">
        <w:rPr>
          <w:rFonts w:asciiTheme="minorHAnsi" w:hAnsiTheme="minorHAnsi"/>
        </w:rPr>
        <w:t>i</w:t>
      </w:r>
      <w:r>
        <w:rPr>
          <w:rFonts w:asciiTheme="minorHAnsi" w:hAnsiTheme="minorHAnsi"/>
        </w:rPr>
        <w:t xml:space="preserve"> </w:t>
      </w:r>
      <w:r w:rsidRPr="00803212">
        <w:rPr>
          <w:rFonts w:asciiTheme="minorHAnsi" w:hAnsiTheme="minorHAnsi"/>
        </w:rPr>
        <w:t>un citi interesenti, ka</w:t>
      </w:r>
      <w:r>
        <w:rPr>
          <w:rFonts w:asciiTheme="minorHAnsi" w:hAnsiTheme="minorHAnsi"/>
        </w:rPr>
        <w:t>s interesējušies par pētījumiem</w:t>
      </w:r>
      <w:r w:rsidRPr="00803212">
        <w:rPr>
          <w:rFonts w:asciiTheme="minorHAnsi" w:hAnsiTheme="minorHAnsi"/>
        </w:rPr>
        <w:t xml:space="preserve">. </w:t>
      </w:r>
    </w:p>
    <w:p w:rsidR="0016693F" w:rsidRDefault="0016693F" w:rsidP="0016693F">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5.3.</w:t>
      </w:r>
      <w:r w:rsidRPr="001234C1">
        <w:rPr>
          <w:rFonts w:asciiTheme="minorHAnsi" w:hAnsiTheme="minorHAnsi"/>
          <w:sz w:val="28"/>
        </w:rPr>
        <w:t xml:space="preserve"> </w:t>
      </w:r>
      <w:r>
        <w:rPr>
          <w:rFonts w:asciiTheme="minorHAnsi" w:hAnsiTheme="minorHAnsi"/>
          <w:sz w:val="28"/>
        </w:rPr>
        <w:t>Sēklu kontroles joma</w:t>
      </w:r>
    </w:p>
    <w:p w:rsidR="00220656" w:rsidRDefault="00220656" w:rsidP="00220656">
      <w:pPr>
        <w:widowControl w:val="0"/>
        <w:spacing w:before="120"/>
        <w:jc w:val="both"/>
        <w:rPr>
          <w:rFonts w:asciiTheme="minorHAnsi" w:hAnsiTheme="minorHAnsi"/>
        </w:rPr>
      </w:pPr>
      <w:r>
        <w:rPr>
          <w:rFonts w:asciiTheme="minorHAnsi" w:hAnsiTheme="minorHAnsi"/>
        </w:rPr>
        <w:t>VAAD</w:t>
      </w:r>
      <w:r w:rsidRPr="00220656">
        <w:rPr>
          <w:rFonts w:asciiTheme="minorHAnsi" w:hAnsiTheme="minorHAnsi"/>
        </w:rPr>
        <w:t xml:space="preserve"> mājaslapā ir pieejama informācija par normatīvo aktu prasībām un izmantotajām analīžu metodēm. </w:t>
      </w:r>
    </w:p>
    <w:p w:rsidR="00220656" w:rsidRDefault="00220656" w:rsidP="00220656">
      <w:pPr>
        <w:widowControl w:val="0"/>
        <w:spacing w:before="120"/>
        <w:jc w:val="both"/>
        <w:rPr>
          <w:rFonts w:asciiTheme="minorHAnsi" w:hAnsiTheme="minorHAnsi"/>
        </w:rPr>
      </w:pPr>
      <w:r w:rsidRPr="00220656">
        <w:rPr>
          <w:rFonts w:asciiTheme="minorHAnsi" w:hAnsiTheme="minorHAnsi"/>
        </w:rPr>
        <w:t xml:space="preserve">Ir pilnveidojusies sadarbība </w:t>
      </w:r>
      <w:r>
        <w:rPr>
          <w:rFonts w:asciiTheme="minorHAnsi" w:hAnsiTheme="minorHAnsi"/>
        </w:rPr>
        <w:t xml:space="preserve">(e-pasts) </w:t>
      </w:r>
      <w:r w:rsidRPr="00220656">
        <w:rPr>
          <w:rFonts w:asciiTheme="minorHAnsi" w:hAnsiTheme="minorHAnsi"/>
        </w:rPr>
        <w:t xml:space="preserve">informācijas apmaiņas jomā ar </w:t>
      </w:r>
      <w:r>
        <w:rPr>
          <w:rFonts w:asciiTheme="minorHAnsi" w:hAnsiTheme="minorHAnsi"/>
        </w:rPr>
        <w:t>„</w:t>
      </w:r>
      <w:proofErr w:type="spellStart"/>
      <w:r w:rsidRPr="00220656">
        <w:rPr>
          <w:rFonts w:asciiTheme="minorHAnsi" w:hAnsiTheme="minorHAnsi"/>
        </w:rPr>
        <w:t>Vikima</w:t>
      </w:r>
      <w:proofErr w:type="spellEnd"/>
      <w:r w:rsidRPr="00220656">
        <w:rPr>
          <w:rFonts w:asciiTheme="minorHAnsi" w:hAnsiTheme="minorHAnsi"/>
        </w:rPr>
        <w:t xml:space="preserve"> </w:t>
      </w:r>
      <w:proofErr w:type="spellStart"/>
      <w:r w:rsidRPr="00220656">
        <w:rPr>
          <w:rFonts w:asciiTheme="minorHAnsi" w:hAnsiTheme="minorHAnsi"/>
        </w:rPr>
        <w:t>Seed</w:t>
      </w:r>
      <w:proofErr w:type="spellEnd"/>
      <w:r>
        <w:rPr>
          <w:rFonts w:asciiTheme="minorHAnsi" w:hAnsiTheme="minorHAnsi"/>
        </w:rPr>
        <w:t>”</w:t>
      </w:r>
      <w:r w:rsidRPr="00220656">
        <w:rPr>
          <w:rFonts w:asciiTheme="minorHAnsi" w:hAnsiTheme="minorHAnsi"/>
        </w:rPr>
        <w:t xml:space="preserve"> un </w:t>
      </w:r>
      <w:r>
        <w:rPr>
          <w:rFonts w:asciiTheme="minorHAnsi" w:hAnsiTheme="minorHAnsi"/>
        </w:rPr>
        <w:t>„</w:t>
      </w:r>
      <w:r w:rsidRPr="00220656">
        <w:rPr>
          <w:rFonts w:asciiTheme="minorHAnsi" w:hAnsiTheme="minorHAnsi"/>
        </w:rPr>
        <w:t xml:space="preserve">DLF </w:t>
      </w:r>
      <w:proofErr w:type="spellStart"/>
      <w:r w:rsidRPr="00220656">
        <w:rPr>
          <w:rFonts w:asciiTheme="minorHAnsi" w:hAnsiTheme="minorHAnsi"/>
        </w:rPr>
        <w:t>Trifolim</w:t>
      </w:r>
      <w:proofErr w:type="spellEnd"/>
      <w:r>
        <w:rPr>
          <w:rFonts w:asciiTheme="minorHAnsi" w:hAnsiTheme="minorHAnsi"/>
        </w:rPr>
        <w:t xml:space="preserve">”, </w:t>
      </w:r>
      <w:r w:rsidRPr="00220656">
        <w:rPr>
          <w:rFonts w:asciiTheme="minorHAnsi" w:hAnsiTheme="minorHAnsi"/>
        </w:rPr>
        <w:t xml:space="preserve">it īpaši informējot klientus par atsevišķu analīžu rezultātiem. NSKL vadītājam un vadītāja vietniekam ir piekļuve DLF </w:t>
      </w:r>
      <w:proofErr w:type="spellStart"/>
      <w:r w:rsidRPr="00220656">
        <w:rPr>
          <w:rFonts w:asciiTheme="minorHAnsi" w:hAnsiTheme="minorHAnsi"/>
        </w:rPr>
        <w:t>Trifolium</w:t>
      </w:r>
      <w:proofErr w:type="spellEnd"/>
      <w:r w:rsidRPr="00220656">
        <w:rPr>
          <w:rFonts w:asciiTheme="minorHAnsi" w:hAnsiTheme="minorHAnsi"/>
        </w:rPr>
        <w:t xml:space="preserve"> datu bāzei NAVISION, kurā ierakstīti veikto analīžu rezultāti par klienta atsūtītajiem paraugiem. Abu kompāniju kontaktpersonām aizsūtīta klientu aptaujas anketa, lai noskaidrotu NSKL darba vērtējumu. Izvērtējot anketu rezultātus – klienti ar pakalpojuma pieejamību, darbinieku profesionalitāti un komunikācijas </w:t>
      </w:r>
      <w:r w:rsidRPr="00220656">
        <w:rPr>
          <w:rFonts w:asciiTheme="minorHAnsi" w:hAnsiTheme="minorHAnsi"/>
        </w:rPr>
        <w:lastRenderedPageBreak/>
        <w:t xml:space="preserve">iespējām ir apmierināti. </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 xml:space="preserve">Lai noskaidrotu klientu apmierinātību ar NSKL sniegtajiem pakalpojumiem, izstrādāta klientu aptaujas anketa, kuru klienti var aizpildīt atnesot sēklu paraugus, </w:t>
      </w:r>
      <w:r>
        <w:rPr>
          <w:rFonts w:asciiTheme="minorHAnsi" w:hAnsiTheme="minorHAnsi"/>
        </w:rPr>
        <w:t xml:space="preserve">anketas izplatītas </w:t>
      </w:r>
      <w:r w:rsidR="00261ECC">
        <w:rPr>
          <w:rFonts w:asciiTheme="minorHAnsi" w:hAnsiTheme="minorHAnsi"/>
        </w:rPr>
        <w:t xml:space="preserve">arī </w:t>
      </w:r>
      <w:r>
        <w:rPr>
          <w:rFonts w:asciiTheme="minorHAnsi" w:hAnsiTheme="minorHAnsi"/>
        </w:rPr>
        <w:t xml:space="preserve">VAAD </w:t>
      </w:r>
      <w:r w:rsidRPr="00220656">
        <w:rPr>
          <w:rFonts w:asciiTheme="minorHAnsi" w:hAnsiTheme="minorHAnsi"/>
        </w:rPr>
        <w:t>reģionāl</w:t>
      </w:r>
      <w:r w:rsidR="00261ECC">
        <w:rPr>
          <w:rFonts w:asciiTheme="minorHAnsi" w:hAnsiTheme="minorHAnsi"/>
        </w:rPr>
        <w:t xml:space="preserve">o </w:t>
      </w:r>
      <w:r w:rsidRPr="00220656">
        <w:rPr>
          <w:rFonts w:asciiTheme="minorHAnsi" w:hAnsiTheme="minorHAnsi"/>
        </w:rPr>
        <w:t>nodaļu sēklu kontroles laboratorij</w:t>
      </w:r>
      <w:r w:rsidR="00261ECC">
        <w:rPr>
          <w:rFonts w:asciiTheme="minorHAnsi" w:hAnsiTheme="minorHAnsi"/>
        </w:rPr>
        <w:t>ās</w:t>
      </w:r>
      <w:r w:rsidRPr="00220656">
        <w:rPr>
          <w:rFonts w:asciiTheme="minorHAnsi" w:hAnsiTheme="minorHAnsi"/>
        </w:rPr>
        <w:t>. Apkopojot anketas rezultātus var secināt, ka klienti ar laboratoriju darbu ir apmierināti, norādot, ka laboratorijas darbinieku profesionalitāte un zināšanas pilnībā atbilst klienta vajadzībām arī ar dokumentu saņemšanas kārtību un termiņiem klienti ir apmierināti.</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Klientiem informāciju par analīžu starprezultātiem ir iespējams uzzināt arī telefoniski un elektroniski. Ieviesta prakse, ka par rezultātiem tiek informēts arī šķirnes uzturētājs vai selekcionārs (ja tas skar kategorijas pazemināšanu). Klients tiek informēts arī par visiem gadījumiem, kad sertifikācijas parauga kvalitāte neatbilst normatīvo aktu prasībām.</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Krievijas sēklu jomas speciālisti pēc apmācībām aizpildīja mācību novērtējuma anketu. Lielākajā daļā anketu mācību vērtējums bija teicams. Daži no respondentiem bija izteikuši vēlmi, lai vairāk būtu praktisko nodarbību, īpaši tīrības analīžu veikšanā.</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Oficiālajam laikrakstam „Latvijas Vēstnesis” sagatavotas publikācijas saistībā ar Latvijas augu šķirņu katalogu, selekcionāru tiesību piešķiršanu un šķirnes nosaukumu atzīšanu.</w:t>
      </w:r>
    </w:p>
    <w:p w:rsidR="00220656" w:rsidRPr="00261ECC" w:rsidRDefault="00261ECC" w:rsidP="00261ECC">
      <w:pPr>
        <w:widowControl w:val="0"/>
        <w:spacing w:before="120"/>
        <w:jc w:val="both"/>
        <w:rPr>
          <w:rFonts w:asciiTheme="minorHAnsi" w:hAnsiTheme="minorHAnsi"/>
        </w:rPr>
      </w:pPr>
      <w:r w:rsidRPr="00261ECC">
        <w:rPr>
          <w:rFonts w:asciiTheme="minorHAnsi" w:hAnsiTheme="minorHAnsi"/>
        </w:rPr>
        <w:t>VAAD mājas</w:t>
      </w:r>
      <w:r w:rsidR="00220656" w:rsidRPr="00261ECC">
        <w:rPr>
          <w:rFonts w:asciiTheme="minorHAnsi" w:hAnsiTheme="minorHAnsi"/>
        </w:rPr>
        <w:t>lapā publicēti “Augu šķirņu saimniecisko īpašību novērtēšanas rezultāti 2011.gadā”.</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Nosūtīta informācija uz CPVO, OECD, ES Kopējam lauksaimniecības augu šķirņu katalogam un ES Kopējam dārzeņu šķirņu katalogam par Latvijas augu šķirņu kataloga šķirnēm.</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 xml:space="preserve">Par jauno šķirņu saimniecisko īpašību novērtēšanas rezultātiem informēti visi izmēģinājumu pasūtītāji. </w:t>
      </w:r>
    </w:p>
    <w:p w:rsidR="00220656" w:rsidRPr="00220656" w:rsidRDefault="00220656" w:rsidP="00220656">
      <w:pPr>
        <w:widowControl w:val="0"/>
        <w:spacing w:before="120"/>
        <w:jc w:val="both"/>
        <w:rPr>
          <w:rFonts w:asciiTheme="minorHAnsi" w:hAnsiTheme="minorHAnsi"/>
        </w:rPr>
      </w:pPr>
      <w:r w:rsidRPr="00220656">
        <w:rPr>
          <w:rFonts w:asciiTheme="minorHAnsi" w:hAnsiTheme="minorHAnsi"/>
        </w:rPr>
        <w:t xml:space="preserve">Sagatavotas publikācijas: </w:t>
      </w:r>
    </w:p>
    <w:p w:rsidR="00220656" w:rsidRPr="00261ECC" w:rsidRDefault="00220656" w:rsidP="00261ECC">
      <w:pPr>
        <w:pStyle w:val="ListParagraph"/>
        <w:widowControl w:val="0"/>
        <w:numPr>
          <w:ilvl w:val="0"/>
          <w:numId w:val="29"/>
        </w:numPr>
        <w:spacing w:before="120"/>
        <w:jc w:val="both"/>
        <w:rPr>
          <w:rFonts w:asciiTheme="minorHAnsi" w:hAnsiTheme="minorHAnsi"/>
        </w:rPr>
      </w:pPr>
      <w:r w:rsidRPr="00261ECC">
        <w:rPr>
          <w:rFonts w:asciiTheme="minorHAnsi" w:hAnsiTheme="minorHAnsi"/>
        </w:rPr>
        <w:t>Latvijas augu šķirņu katalogā būs jaunas šķirnes,</w:t>
      </w:r>
      <w:r w:rsidR="00261ECC">
        <w:rPr>
          <w:rFonts w:asciiTheme="minorHAnsi" w:hAnsiTheme="minorHAnsi"/>
        </w:rPr>
        <w:t xml:space="preserve"> žurnālam „</w:t>
      </w:r>
      <w:r w:rsidRPr="00261ECC">
        <w:rPr>
          <w:rFonts w:asciiTheme="minorHAnsi" w:hAnsiTheme="minorHAnsi"/>
        </w:rPr>
        <w:t>Saimnieks</w:t>
      </w:r>
      <w:r w:rsidR="00261ECC">
        <w:rPr>
          <w:rFonts w:asciiTheme="minorHAnsi" w:hAnsiTheme="minorHAnsi"/>
        </w:rPr>
        <w:t>”</w:t>
      </w:r>
      <w:r w:rsidRPr="00261ECC">
        <w:rPr>
          <w:rFonts w:asciiTheme="minorHAnsi" w:hAnsiTheme="minorHAnsi"/>
        </w:rPr>
        <w:t>;</w:t>
      </w:r>
    </w:p>
    <w:p w:rsidR="00220656" w:rsidRPr="00261ECC" w:rsidRDefault="00220656" w:rsidP="00261ECC">
      <w:pPr>
        <w:pStyle w:val="ListParagraph"/>
        <w:widowControl w:val="0"/>
        <w:numPr>
          <w:ilvl w:val="0"/>
          <w:numId w:val="29"/>
        </w:numPr>
        <w:spacing w:before="120"/>
        <w:jc w:val="both"/>
        <w:rPr>
          <w:rFonts w:asciiTheme="minorHAnsi" w:hAnsiTheme="minorHAnsi"/>
        </w:rPr>
      </w:pPr>
      <w:r w:rsidRPr="00261ECC">
        <w:rPr>
          <w:rFonts w:asciiTheme="minorHAnsi" w:hAnsiTheme="minorHAnsi"/>
        </w:rPr>
        <w:t xml:space="preserve">Sēklaudzēšanas 19 gadi – par lopbarības augu un kartupeļu sēklaudzēšanu, </w:t>
      </w:r>
      <w:r w:rsidR="00261ECC">
        <w:rPr>
          <w:rFonts w:asciiTheme="minorHAnsi" w:hAnsiTheme="minorHAnsi"/>
        </w:rPr>
        <w:t>žurnālam „</w:t>
      </w:r>
      <w:r w:rsidR="00261ECC" w:rsidRPr="00261ECC">
        <w:rPr>
          <w:rFonts w:asciiTheme="minorHAnsi" w:hAnsiTheme="minorHAnsi"/>
        </w:rPr>
        <w:t>Saimnieks</w:t>
      </w:r>
      <w:r w:rsidR="00261ECC">
        <w:rPr>
          <w:rFonts w:asciiTheme="minorHAnsi" w:hAnsiTheme="minorHAnsi"/>
        </w:rPr>
        <w:t>”</w:t>
      </w:r>
      <w:r w:rsidRPr="00261ECC">
        <w:rPr>
          <w:rFonts w:asciiTheme="minorHAnsi" w:hAnsiTheme="minorHAnsi"/>
        </w:rPr>
        <w:t>;</w:t>
      </w:r>
    </w:p>
    <w:p w:rsidR="00220656" w:rsidRPr="00261ECC" w:rsidRDefault="00220656" w:rsidP="00261ECC">
      <w:pPr>
        <w:pStyle w:val="ListParagraph"/>
        <w:widowControl w:val="0"/>
        <w:numPr>
          <w:ilvl w:val="0"/>
          <w:numId w:val="29"/>
        </w:numPr>
        <w:spacing w:before="120"/>
        <w:jc w:val="both"/>
        <w:rPr>
          <w:rFonts w:asciiTheme="minorHAnsi" w:hAnsiTheme="minorHAnsi"/>
        </w:rPr>
      </w:pPr>
      <w:r w:rsidRPr="00261ECC">
        <w:rPr>
          <w:rFonts w:asciiTheme="minorHAnsi" w:hAnsiTheme="minorHAnsi"/>
        </w:rPr>
        <w:t>Sēklas cilvēki un laiki – par sēklu kontroles Latvijā 140 gadus ilgo vēsturi;</w:t>
      </w:r>
    </w:p>
    <w:p w:rsidR="00220656" w:rsidRDefault="00220656" w:rsidP="00261ECC">
      <w:pPr>
        <w:pStyle w:val="ListParagraph"/>
        <w:widowControl w:val="0"/>
        <w:numPr>
          <w:ilvl w:val="0"/>
          <w:numId w:val="29"/>
        </w:numPr>
        <w:spacing w:before="120"/>
        <w:jc w:val="both"/>
        <w:rPr>
          <w:rFonts w:asciiTheme="minorHAnsi" w:hAnsiTheme="minorHAnsi"/>
        </w:rPr>
      </w:pPr>
      <w:r w:rsidRPr="00261ECC">
        <w:rPr>
          <w:rFonts w:asciiTheme="minorHAnsi" w:hAnsiTheme="minorHAnsi"/>
        </w:rPr>
        <w:t xml:space="preserve">Informācija par labību sēklaudzēšanu 2012.gadā, </w:t>
      </w:r>
      <w:r w:rsidR="00261ECC">
        <w:rPr>
          <w:rFonts w:asciiTheme="minorHAnsi" w:hAnsiTheme="minorHAnsi"/>
        </w:rPr>
        <w:t>žurnālam „</w:t>
      </w:r>
      <w:r w:rsidR="00261ECC" w:rsidRPr="00261ECC">
        <w:rPr>
          <w:rFonts w:asciiTheme="minorHAnsi" w:hAnsiTheme="minorHAnsi"/>
        </w:rPr>
        <w:t>Saimnieks</w:t>
      </w:r>
      <w:r w:rsidR="00261ECC">
        <w:rPr>
          <w:rFonts w:asciiTheme="minorHAnsi" w:hAnsiTheme="minorHAnsi"/>
        </w:rPr>
        <w:t>”</w:t>
      </w:r>
      <w:r w:rsidRPr="00261ECC">
        <w:rPr>
          <w:rFonts w:asciiTheme="minorHAnsi" w:hAnsiTheme="minorHAnsi"/>
        </w:rPr>
        <w:t>.</w:t>
      </w:r>
    </w:p>
    <w:p w:rsidR="00382CD7" w:rsidRPr="00261ECC" w:rsidRDefault="00382CD7" w:rsidP="00382CD7">
      <w:pPr>
        <w:pStyle w:val="ListParagraph"/>
        <w:widowControl w:val="0"/>
        <w:spacing w:before="120"/>
        <w:jc w:val="both"/>
        <w:rPr>
          <w:rFonts w:asciiTheme="minorHAnsi" w:hAnsiTheme="minorHAnsi"/>
        </w:rPr>
      </w:pPr>
    </w:p>
    <w:p w:rsidR="0016693F" w:rsidRDefault="0016693F" w:rsidP="0016693F">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5.4.</w:t>
      </w:r>
      <w:r w:rsidRPr="001234C1">
        <w:rPr>
          <w:rFonts w:asciiTheme="minorHAnsi" w:hAnsiTheme="minorHAnsi"/>
          <w:sz w:val="28"/>
        </w:rPr>
        <w:t xml:space="preserve"> </w:t>
      </w:r>
      <w:r>
        <w:rPr>
          <w:rFonts w:asciiTheme="minorHAnsi" w:hAnsiTheme="minorHAnsi"/>
          <w:sz w:val="28"/>
        </w:rPr>
        <w:t>Agroķīmijas joma</w:t>
      </w:r>
    </w:p>
    <w:p w:rsidR="00A46ACE" w:rsidRPr="00A46ACE" w:rsidRDefault="00A46ACE" w:rsidP="00A46ACE">
      <w:pPr>
        <w:widowControl w:val="0"/>
        <w:spacing w:before="120"/>
        <w:jc w:val="both"/>
        <w:rPr>
          <w:rFonts w:asciiTheme="minorHAnsi" w:hAnsiTheme="minorHAnsi"/>
        </w:rPr>
      </w:pPr>
      <w:r>
        <w:rPr>
          <w:rFonts w:asciiTheme="minorHAnsi" w:hAnsiTheme="minorHAnsi"/>
        </w:rPr>
        <w:t>Agroķīmijas departamenta</w:t>
      </w:r>
      <w:r w:rsidRPr="00A46ACE">
        <w:rPr>
          <w:rFonts w:asciiTheme="minorHAnsi" w:hAnsiTheme="minorHAnsi"/>
        </w:rPr>
        <w:t xml:space="preserve"> darbinieki piedalījās SIA „</w:t>
      </w:r>
      <w:proofErr w:type="spellStart"/>
      <w:r w:rsidRPr="00A46ACE">
        <w:rPr>
          <w:rFonts w:asciiTheme="minorHAnsi" w:hAnsiTheme="minorHAnsi"/>
        </w:rPr>
        <w:t>Agrimatco</w:t>
      </w:r>
      <w:proofErr w:type="spellEnd"/>
      <w:r w:rsidRPr="00A46ACE">
        <w:rPr>
          <w:rFonts w:asciiTheme="minorHAnsi" w:hAnsiTheme="minorHAnsi"/>
        </w:rPr>
        <w:t xml:space="preserve"> Latvia” rīkotajā seminārā ML tirgotājiem, kurā informēja par normatīvo aktu prasībām ML tirdzniecībai, kā arī regulāri ievietoja informāciju </w:t>
      </w:r>
      <w:r>
        <w:rPr>
          <w:rFonts w:asciiTheme="minorHAnsi" w:hAnsiTheme="minorHAnsi"/>
        </w:rPr>
        <w:t xml:space="preserve">VAAD </w:t>
      </w:r>
      <w:r w:rsidRPr="00A46ACE">
        <w:rPr>
          <w:rFonts w:asciiTheme="minorHAnsi" w:hAnsiTheme="minorHAnsi"/>
        </w:rPr>
        <w:t>mājaslapā, gan par reģistrētajiem ML, gan ar atļaujām ievestajiem, gan ML, kuros AN slāpekļa saturs ir 20 % un vairāk, kā arī sniedza atbildes uz mājaslapā ievietotajiem jautājumiem.</w:t>
      </w:r>
    </w:p>
    <w:p w:rsidR="0057182C" w:rsidRPr="0057182C" w:rsidRDefault="0057182C" w:rsidP="0057182C">
      <w:pPr>
        <w:widowControl w:val="0"/>
        <w:spacing w:before="120"/>
        <w:jc w:val="both"/>
        <w:rPr>
          <w:rFonts w:asciiTheme="minorHAnsi" w:hAnsiTheme="minorHAnsi"/>
        </w:rPr>
      </w:pPr>
      <w:r>
        <w:rPr>
          <w:rFonts w:asciiTheme="minorHAnsi" w:hAnsiTheme="minorHAnsi"/>
        </w:rPr>
        <w:t>Agroķīmijas departamenta</w:t>
      </w:r>
      <w:r w:rsidRPr="00A46ACE">
        <w:rPr>
          <w:rFonts w:asciiTheme="minorHAnsi" w:hAnsiTheme="minorHAnsi"/>
        </w:rPr>
        <w:t xml:space="preserve"> </w:t>
      </w:r>
      <w:r w:rsidRPr="0057182C">
        <w:rPr>
          <w:rFonts w:asciiTheme="minorHAnsi" w:hAnsiTheme="minorHAnsi"/>
        </w:rPr>
        <w:t>darbinieki pārskata gadā piedalījās dažādos semināros un lauksaimniecības konsultantu mācībās, kur ska</w:t>
      </w:r>
      <w:smartTag w:uri="urn:schemas-microsoft-com:office:smarttags" w:element="PersonName">
        <w:r w:rsidRPr="0057182C">
          <w:rPr>
            <w:rFonts w:asciiTheme="minorHAnsi" w:hAnsiTheme="minorHAnsi"/>
          </w:rPr>
          <w:t>id</w:t>
        </w:r>
      </w:smartTag>
      <w:r w:rsidRPr="0057182C">
        <w:rPr>
          <w:rFonts w:asciiTheme="minorHAnsi" w:hAnsiTheme="minorHAnsi"/>
        </w:rPr>
        <w:t>roja AAI nozīmi kvalitatīvas un ekonomiski pamatotas ražas ieguvei, vienlaicīgi nodrošinot ilgtspējīgu augsnes auglību.</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 xml:space="preserve">2012.gadā sagatavotas četras publikācijas par augšņu auglības jautājumiem. </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Klientiem regulāri (telefoniski, elektroniski un klātienē) sniegtas konsultācijas par AAI, kā arī par indiv</w:t>
      </w:r>
      <w:smartTag w:uri="urn:schemas-microsoft-com:office:smarttags" w:element="PersonName">
        <w:r w:rsidRPr="0057182C">
          <w:rPr>
            <w:rFonts w:asciiTheme="minorHAnsi" w:hAnsiTheme="minorHAnsi"/>
          </w:rPr>
          <w:t>id</w:t>
        </w:r>
      </w:smartTag>
      <w:r w:rsidRPr="0057182C">
        <w:rPr>
          <w:rFonts w:asciiTheme="minorHAnsi" w:hAnsiTheme="minorHAnsi"/>
        </w:rPr>
        <w:t>uālo augsnes paraugu analīžu rezultātu izmantošanu.</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 xml:space="preserve">Tika sagatavotas 8 atbildes uz </w:t>
      </w:r>
      <w:r w:rsidR="004B6E67">
        <w:rPr>
          <w:rFonts w:asciiTheme="minorHAnsi" w:hAnsiTheme="minorHAnsi"/>
        </w:rPr>
        <w:t>VAAD</w:t>
      </w:r>
      <w:r w:rsidR="004B6E67" w:rsidRPr="0057182C">
        <w:rPr>
          <w:rFonts w:asciiTheme="minorHAnsi" w:hAnsiTheme="minorHAnsi"/>
        </w:rPr>
        <w:t xml:space="preserve"> </w:t>
      </w:r>
      <w:r w:rsidRPr="0057182C">
        <w:rPr>
          <w:rFonts w:asciiTheme="minorHAnsi" w:hAnsiTheme="minorHAnsi"/>
        </w:rPr>
        <w:t xml:space="preserve">mājaslapā iesniegtajiem jautājumiem par augsnes </w:t>
      </w:r>
      <w:r w:rsidRPr="0057182C">
        <w:rPr>
          <w:rFonts w:asciiTheme="minorHAnsi" w:hAnsiTheme="minorHAnsi"/>
        </w:rPr>
        <w:lastRenderedPageBreak/>
        <w:t>analīzēm un AAI.</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Pārskata periodā tika veikta klientu aptauja, ietverot jautājumus par AAI pakalpojuma kvalitāti, personu informētību u.c. No klientiem tika saņemta 151 aizpildīta aptaujas ve</w:t>
      </w:r>
      <w:smartTag w:uri="urn:schemas-microsoft-com:office:smarttags" w:element="PersonName">
        <w:r w:rsidRPr="0057182C">
          <w:rPr>
            <w:rFonts w:asciiTheme="minorHAnsi" w:hAnsiTheme="minorHAnsi"/>
          </w:rPr>
          <w:t>id</w:t>
        </w:r>
      </w:smartTag>
      <w:r w:rsidRPr="0057182C">
        <w:rPr>
          <w:rFonts w:asciiTheme="minorHAnsi" w:hAnsiTheme="minorHAnsi"/>
        </w:rPr>
        <w:t>lapa.</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Saskaņā ar aptaujas rezultātiem:</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lielākā daļa (68 %) AAI klientu ir zemnieku saimniecības, SIA un kooperatīvi ve</w:t>
      </w:r>
      <w:smartTag w:uri="urn:schemas-microsoft-com:office:smarttags" w:element="PersonName">
        <w:r w:rsidRPr="0057182C">
          <w:rPr>
            <w:rFonts w:asciiTheme="minorHAnsi" w:hAnsiTheme="minorHAnsi"/>
          </w:rPr>
          <w:t>id</w:t>
        </w:r>
      </w:smartTag>
      <w:r w:rsidRPr="0057182C">
        <w:rPr>
          <w:rFonts w:asciiTheme="minorHAnsi" w:hAnsiTheme="minorHAnsi"/>
        </w:rPr>
        <w:t>o 20 %, pārējie – 12 %;</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95 % aptaujāto uzskata, ka pieteikšanās AAI nav sarežģīta;</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31 % klientu vēlētos, lai augsnes paraugu ņemšanai tiktu izmantota GPS ierīce (par papildus samaksu);</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AAI materiālu izmantošanā 48% pasūtītāju pieaicina speciālistus;</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64 % klientu ir augstākā vai v</w:t>
      </w:r>
      <w:smartTag w:uri="urn:schemas-microsoft-com:office:smarttags" w:element="PersonName">
        <w:r w:rsidRPr="0057182C">
          <w:rPr>
            <w:rFonts w:asciiTheme="minorHAnsi" w:hAnsiTheme="minorHAnsi"/>
          </w:rPr>
          <w:t>id</w:t>
        </w:r>
      </w:smartTag>
      <w:r w:rsidRPr="0057182C">
        <w:rPr>
          <w:rFonts w:asciiTheme="minorHAnsi" w:hAnsiTheme="minorHAnsi"/>
        </w:rPr>
        <w:t>ējā speciālā lauksaimnieciskā izglītība;</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informāciju par AAI pakalpojumu 39 % klientu ir ieguvuši no VAAD mājaslapas, 30 % - apmeklējot seminārus lauksaimniekiem, 13 % - no paziņām, 6 % - plašsaziņas līdzekļiem, bet 12 % - citā veidā;</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79 % aptaujāto jau agrāk ir izmantojuši AAI pakalpojumu, t.i., bijušie klienti.</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Vērtējot AAI pakalpojuma kvalitāti un izpildes termiņus attiecīgi 95 % un 94 % klientu sniedza pozitīvu vērtējumu. 28 % klientu AAI pakalpojuma izmaksas šobrīd šķiet par dārgu.</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Aptaujas ve</w:t>
      </w:r>
      <w:smartTag w:uri="urn:schemas-microsoft-com:office:smarttags" w:element="PersonName">
        <w:r w:rsidRPr="0057182C">
          <w:rPr>
            <w:rFonts w:asciiTheme="minorHAnsi" w:hAnsiTheme="minorHAnsi"/>
          </w:rPr>
          <w:t>id</w:t>
        </w:r>
      </w:smartTag>
      <w:r w:rsidRPr="0057182C">
        <w:rPr>
          <w:rFonts w:asciiTheme="minorHAnsi" w:hAnsiTheme="minorHAnsi"/>
        </w:rPr>
        <w:t>lapā bija iekļauta arī sadaļa ierosinājumiem un priekšlikumiem pakalpojuma uzlabošanai. Ieraksti šajā sadaļā bija salīdzinoši maz ve</w:t>
      </w:r>
      <w:smartTag w:uri="urn:schemas-microsoft-com:office:smarttags" w:element="PersonName">
        <w:r w:rsidRPr="0057182C">
          <w:rPr>
            <w:rFonts w:asciiTheme="minorHAnsi" w:hAnsiTheme="minorHAnsi"/>
          </w:rPr>
          <w:t>id</w:t>
        </w:r>
      </w:smartTag>
      <w:r w:rsidRPr="0057182C">
        <w:rPr>
          <w:rFonts w:asciiTheme="minorHAnsi" w:hAnsiTheme="minorHAnsi"/>
        </w:rPr>
        <w:t>lapās, bet galvenie ieteikumi bija šādi:</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sagatavot un reizē ar AAI materiāliem izsniegt ieteikumus AAI materiālu izmantošanai, t.sk., mēslošanas rekomendācijas;</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ieviest elektroniskos dokumentus;</w:t>
      </w:r>
    </w:p>
    <w:p w:rsidR="0057182C" w:rsidRPr="0057182C" w:rsidRDefault="0057182C" w:rsidP="0057182C">
      <w:pPr>
        <w:pStyle w:val="ListParagraph"/>
        <w:widowControl w:val="0"/>
        <w:numPr>
          <w:ilvl w:val="0"/>
          <w:numId w:val="26"/>
        </w:numPr>
        <w:spacing w:before="120"/>
        <w:jc w:val="both"/>
        <w:rPr>
          <w:rFonts w:asciiTheme="minorHAnsi" w:hAnsiTheme="minorHAnsi"/>
        </w:rPr>
      </w:pPr>
      <w:r w:rsidRPr="0057182C">
        <w:rPr>
          <w:rFonts w:asciiTheme="minorHAnsi" w:hAnsiTheme="minorHAnsi"/>
        </w:rPr>
        <w:t>par īpašu samaksu piedāvāt „ātro” pakalpojumu, 1-2 nedēļu laikā izsniedzot rezultātus.</w:t>
      </w:r>
    </w:p>
    <w:p w:rsidR="0057182C" w:rsidRPr="0057182C" w:rsidRDefault="0057182C" w:rsidP="0057182C">
      <w:pPr>
        <w:widowControl w:val="0"/>
        <w:spacing w:before="120"/>
        <w:jc w:val="both"/>
        <w:rPr>
          <w:rFonts w:asciiTheme="minorHAnsi" w:hAnsiTheme="minorHAnsi"/>
        </w:rPr>
      </w:pPr>
      <w:r>
        <w:rPr>
          <w:rFonts w:asciiTheme="minorHAnsi" w:hAnsiTheme="minorHAnsi"/>
        </w:rPr>
        <w:t>Agroķīmijas departaments</w:t>
      </w:r>
      <w:r w:rsidRPr="00A46ACE">
        <w:rPr>
          <w:rFonts w:asciiTheme="minorHAnsi" w:hAnsiTheme="minorHAnsi"/>
        </w:rPr>
        <w:t xml:space="preserve"> </w:t>
      </w:r>
      <w:r w:rsidRPr="0057182C">
        <w:rPr>
          <w:rFonts w:asciiTheme="minorHAnsi" w:hAnsiTheme="minorHAnsi"/>
        </w:rPr>
        <w:t>piedalījās reģionālo nodaļu rīkotajos semināros, informējot lauksaimniekus par ML lietošanas un uzskaites jautājumiem, kā arī LLKC organizētajās augkopības konsultantu mācībās.</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2012.gadā žurnāla “Saimnieks” maija izdevumam sagatavots raksts “Augsnes minerālā slāpekļa monitoringa rezultāti 2012.gada pavasarī” un decembra izdevumam - “</w:t>
      </w:r>
      <w:proofErr w:type="spellStart"/>
      <w:r w:rsidRPr="0057182C">
        <w:rPr>
          <w:rFonts w:asciiTheme="minorHAnsi" w:hAnsiTheme="minorHAnsi"/>
        </w:rPr>
        <w:t>Digestāts</w:t>
      </w:r>
      <w:proofErr w:type="spellEnd"/>
      <w:r w:rsidRPr="0057182C">
        <w:rPr>
          <w:rFonts w:asciiTheme="minorHAnsi" w:hAnsiTheme="minorHAnsi"/>
        </w:rPr>
        <w:t xml:space="preserve"> kultūraugu mēslošanai”.</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 xml:space="preserve">2012.gada 26.martā </w:t>
      </w:r>
      <w:r>
        <w:rPr>
          <w:rFonts w:asciiTheme="minorHAnsi" w:hAnsiTheme="minorHAnsi"/>
        </w:rPr>
        <w:t xml:space="preserve">VAAD </w:t>
      </w:r>
      <w:r w:rsidRPr="0057182C">
        <w:rPr>
          <w:rFonts w:asciiTheme="minorHAnsi" w:hAnsiTheme="minorHAnsi"/>
        </w:rPr>
        <w:t xml:space="preserve">mājaslapā ievietotas rekomendācijas slāpekļa papildmēslojuma devu korekcijai ĪJT 6 novados: Bauskas, Jelgavas, Dobeles, Tērvetes, Krimuldas un Mārupes, kā arī 25.aprīlī publicēts aicinājums lauksaimniekiem </w:t>
      </w:r>
      <w:r w:rsidR="004B6E67">
        <w:rPr>
          <w:rFonts w:asciiTheme="minorHAnsi" w:hAnsiTheme="minorHAnsi"/>
        </w:rPr>
        <w:t>VAAD</w:t>
      </w:r>
      <w:r w:rsidR="004B6E67" w:rsidRPr="0057182C">
        <w:rPr>
          <w:rFonts w:asciiTheme="minorHAnsi" w:hAnsiTheme="minorHAnsi"/>
        </w:rPr>
        <w:t xml:space="preserve"> </w:t>
      </w:r>
      <w:r w:rsidRPr="0057182C">
        <w:rPr>
          <w:rFonts w:asciiTheme="minorHAnsi" w:hAnsiTheme="minorHAnsi"/>
        </w:rPr>
        <w:t>iesniegt MP kopsavilkumus, kas pārpublicēts arī ĪJT reģionāla</w:t>
      </w:r>
      <w:r w:rsidR="00876579">
        <w:rPr>
          <w:rFonts w:asciiTheme="minorHAnsi" w:hAnsiTheme="minorHAnsi"/>
        </w:rPr>
        <w:t>jos laikrakstos un novadu mājas</w:t>
      </w:r>
      <w:r w:rsidRPr="0057182C">
        <w:rPr>
          <w:rFonts w:asciiTheme="minorHAnsi" w:hAnsiTheme="minorHAnsi"/>
        </w:rPr>
        <w:t>lapās.</w:t>
      </w:r>
    </w:p>
    <w:p w:rsidR="0057182C" w:rsidRDefault="0057182C">
      <w:pPr>
        <w:rPr>
          <w:rFonts w:asciiTheme="minorHAnsi" w:hAnsiTheme="minorHAnsi"/>
          <w:color w:val="4A442A" w:themeColor="background2" w:themeShade="40"/>
          <w:sz w:val="44"/>
        </w:rPr>
      </w:pPr>
      <w:r>
        <w:rPr>
          <w:rFonts w:asciiTheme="minorHAnsi" w:hAnsiTheme="minorHAnsi"/>
          <w:color w:val="4A442A" w:themeColor="background2" w:themeShade="40"/>
          <w:sz w:val="44"/>
        </w:rPr>
        <w:br w:type="page"/>
      </w:r>
    </w:p>
    <w:p w:rsidR="002838F2" w:rsidRDefault="0016693F" w:rsidP="00212C58">
      <w:pPr>
        <w:pStyle w:val="Heading2"/>
      </w:pPr>
      <w:bookmarkStart w:id="37" w:name="_Toc364414727"/>
      <w:bookmarkStart w:id="38" w:name="_Toc364414869"/>
      <w:r>
        <w:lastRenderedPageBreak/>
        <w:t xml:space="preserve">6. </w:t>
      </w:r>
      <w:r w:rsidR="002838F2" w:rsidRPr="0016693F">
        <w:t>Sadarbība ar nevalstisk</w:t>
      </w:r>
      <w:r>
        <w:t>ajām organizācijām</w:t>
      </w:r>
      <w:bookmarkEnd w:id="37"/>
      <w:bookmarkEnd w:id="38"/>
    </w:p>
    <w:p w:rsidR="009F2BCD" w:rsidRPr="00FB79D4" w:rsidRDefault="009F2BCD" w:rsidP="0016693F">
      <w:pPr>
        <w:pStyle w:val="ListParagraph"/>
        <w:widowControl w:val="0"/>
        <w:spacing w:before="120"/>
        <w:ind w:left="0"/>
        <w:jc w:val="center"/>
        <w:rPr>
          <w:rFonts w:asciiTheme="minorHAnsi" w:hAnsiTheme="minorHAnsi"/>
          <w:color w:val="4A442A" w:themeColor="background2" w:themeShade="40"/>
          <w:sz w:val="4"/>
          <w:szCs w:val="4"/>
        </w:rPr>
      </w:pPr>
    </w:p>
    <w:p w:rsidR="00F722B3" w:rsidRPr="00F722B3" w:rsidRDefault="00F722B3" w:rsidP="00F722B3">
      <w:pPr>
        <w:widowControl w:val="0"/>
        <w:spacing w:before="120"/>
        <w:jc w:val="both"/>
        <w:rPr>
          <w:rFonts w:asciiTheme="minorHAnsi" w:hAnsiTheme="minorHAnsi"/>
        </w:rPr>
      </w:pPr>
      <w:r w:rsidRPr="00F722B3">
        <w:rPr>
          <w:rFonts w:asciiTheme="minorHAnsi" w:hAnsiTheme="minorHAnsi"/>
        </w:rPr>
        <w:t>Lai tirdzniecības vietas būtu informētas par prasībām, kādas jāievēro pārdod stādāmo materiālu un kartupeļu, tik noorganizēts seminārs tirdzniecības tīkla „</w:t>
      </w:r>
      <w:proofErr w:type="spellStart"/>
      <w:r w:rsidRPr="00F722B3">
        <w:rPr>
          <w:rFonts w:asciiTheme="minorHAnsi" w:hAnsiTheme="minorHAnsi"/>
        </w:rPr>
        <w:t>Maxima</w:t>
      </w:r>
      <w:proofErr w:type="spellEnd"/>
      <w:r w:rsidRPr="00F722B3">
        <w:rPr>
          <w:rFonts w:asciiTheme="minorHAnsi" w:hAnsiTheme="minorHAnsi"/>
        </w:rPr>
        <w:t>” pārstāvjiem.</w:t>
      </w:r>
    </w:p>
    <w:p w:rsidR="00F722B3" w:rsidRPr="00F722B3" w:rsidRDefault="00F722B3" w:rsidP="00F722B3">
      <w:pPr>
        <w:widowControl w:val="0"/>
        <w:spacing w:before="120"/>
        <w:jc w:val="both"/>
        <w:rPr>
          <w:rFonts w:asciiTheme="minorHAnsi" w:hAnsiTheme="minorHAnsi"/>
        </w:rPr>
      </w:pPr>
      <w:r w:rsidRPr="00F722B3">
        <w:rPr>
          <w:rFonts w:asciiTheme="minorHAnsi" w:hAnsiTheme="minorHAnsi"/>
        </w:rPr>
        <w:t xml:space="preserve">Notikušas konsultācijas ar pašvaldībām un to pārstāvjiem par </w:t>
      </w:r>
      <w:proofErr w:type="spellStart"/>
      <w:r w:rsidRPr="00F722B3">
        <w:rPr>
          <w:rFonts w:asciiTheme="minorHAnsi" w:hAnsiTheme="minorHAnsi"/>
        </w:rPr>
        <w:t>Sosnovska</w:t>
      </w:r>
      <w:proofErr w:type="spellEnd"/>
      <w:r w:rsidRPr="00F722B3">
        <w:rPr>
          <w:rFonts w:asciiTheme="minorHAnsi" w:hAnsiTheme="minorHAnsi"/>
        </w:rPr>
        <w:t xml:space="preserve"> latvāņu ierobežošanu.</w:t>
      </w:r>
    </w:p>
    <w:p w:rsidR="00F722B3" w:rsidRDefault="00F722B3" w:rsidP="00F722B3">
      <w:pPr>
        <w:widowControl w:val="0"/>
        <w:spacing w:before="120"/>
        <w:jc w:val="both"/>
        <w:rPr>
          <w:rFonts w:asciiTheme="minorHAnsi" w:hAnsiTheme="minorHAnsi"/>
        </w:rPr>
      </w:pPr>
      <w:r w:rsidRPr="00F722B3">
        <w:rPr>
          <w:rFonts w:asciiTheme="minorHAnsi" w:hAnsiTheme="minorHAnsi"/>
        </w:rPr>
        <w:t xml:space="preserve">Sniegta kartogrāfiska informācija par ar latvāņiem </w:t>
      </w:r>
      <w:proofErr w:type="spellStart"/>
      <w:r w:rsidRPr="00F722B3">
        <w:rPr>
          <w:rFonts w:asciiTheme="minorHAnsi" w:hAnsiTheme="minorHAnsi"/>
        </w:rPr>
        <w:t>invadētām</w:t>
      </w:r>
      <w:proofErr w:type="spellEnd"/>
      <w:r w:rsidRPr="00F722B3">
        <w:rPr>
          <w:rFonts w:asciiTheme="minorHAnsi" w:hAnsiTheme="minorHAnsi"/>
        </w:rPr>
        <w:t xml:space="preserve"> teritorijām Jēkabpils novadam par tajā ietilpstošajām </w:t>
      </w:r>
      <w:proofErr w:type="spellStart"/>
      <w:r w:rsidRPr="00F722B3">
        <w:rPr>
          <w:rFonts w:asciiTheme="minorHAnsi" w:hAnsiTheme="minorHAnsi"/>
        </w:rPr>
        <w:t>invadētajām</w:t>
      </w:r>
      <w:proofErr w:type="spellEnd"/>
      <w:r w:rsidRPr="00F722B3">
        <w:rPr>
          <w:rFonts w:asciiTheme="minorHAnsi" w:hAnsiTheme="minorHAnsi"/>
        </w:rPr>
        <w:t xml:space="preserve"> teritorijām tādā elektroniskā veidā, lai tos var ērti izmantot teritoriālajā plānošanā. Šāda informācija ierobežošanas pasākumu plānošanai par visā Latvijā esošajām teritorijām sniegta arī </w:t>
      </w:r>
      <w:proofErr w:type="spellStart"/>
      <w:r w:rsidRPr="00F722B3">
        <w:rPr>
          <w:rFonts w:asciiTheme="minorHAnsi" w:hAnsiTheme="minorHAnsi"/>
        </w:rPr>
        <w:t>Bergvik</w:t>
      </w:r>
      <w:proofErr w:type="spellEnd"/>
      <w:r w:rsidRPr="00F722B3">
        <w:rPr>
          <w:rFonts w:asciiTheme="minorHAnsi" w:hAnsiTheme="minorHAnsi"/>
        </w:rPr>
        <w:t xml:space="preserve"> </w:t>
      </w:r>
      <w:proofErr w:type="spellStart"/>
      <w:r w:rsidRPr="00F722B3">
        <w:rPr>
          <w:rFonts w:asciiTheme="minorHAnsi" w:hAnsiTheme="minorHAnsi"/>
        </w:rPr>
        <w:t>Skog</w:t>
      </w:r>
      <w:proofErr w:type="spellEnd"/>
      <w:r w:rsidRPr="00F722B3">
        <w:rPr>
          <w:rFonts w:asciiTheme="minorHAnsi" w:hAnsiTheme="minorHAnsi"/>
        </w:rPr>
        <w:t xml:space="preserve"> grupai, kura ietver SIA „</w:t>
      </w:r>
      <w:proofErr w:type="spellStart"/>
      <w:r w:rsidRPr="00F722B3">
        <w:rPr>
          <w:rFonts w:asciiTheme="minorHAnsi" w:hAnsiTheme="minorHAnsi"/>
        </w:rPr>
        <w:t>Fragaria</w:t>
      </w:r>
      <w:proofErr w:type="spellEnd"/>
      <w:r w:rsidRPr="00F722B3">
        <w:rPr>
          <w:rFonts w:asciiTheme="minorHAnsi" w:hAnsiTheme="minorHAnsi"/>
        </w:rPr>
        <w:t>”, SIA „</w:t>
      </w:r>
      <w:proofErr w:type="spellStart"/>
      <w:r w:rsidRPr="00F722B3">
        <w:rPr>
          <w:rFonts w:asciiTheme="minorHAnsi" w:hAnsiTheme="minorHAnsi"/>
        </w:rPr>
        <w:t>Myrtillus</w:t>
      </w:r>
      <w:proofErr w:type="spellEnd"/>
      <w:r w:rsidRPr="00F722B3">
        <w:rPr>
          <w:rFonts w:asciiTheme="minorHAnsi" w:hAnsiTheme="minorHAnsi"/>
        </w:rPr>
        <w:t>” un SIA „Ruda”.</w:t>
      </w:r>
    </w:p>
    <w:p w:rsidR="00261ECC" w:rsidRPr="00220656" w:rsidRDefault="00261ECC" w:rsidP="00F722B3">
      <w:pPr>
        <w:widowControl w:val="0"/>
        <w:spacing w:before="120"/>
        <w:jc w:val="both"/>
        <w:rPr>
          <w:rFonts w:asciiTheme="minorHAnsi" w:hAnsiTheme="minorHAnsi"/>
        </w:rPr>
      </w:pPr>
      <w:r w:rsidRPr="00220656">
        <w:rPr>
          <w:rFonts w:asciiTheme="minorHAnsi" w:hAnsiTheme="minorHAnsi"/>
        </w:rPr>
        <w:t>10.02.2012. kopējā sanāksmē ar LOSP un Zemnieku Saeimu sniegta informācija par aktualitātēm sēklu sertifikācijā un sēklu tirdzniecībā.</w:t>
      </w:r>
    </w:p>
    <w:p w:rsidR="00261ECC" w:rsidRPr="00220656" w:rsidRDefault="00261ECC" w:rsidP="00261ECC">
      <w:pPr>
        <w:widowControl w:val="0"/>
        <w:spacing w:before="120"/>
        <w:jc w:val="both"/>
        <w:rPr>
          <w:rFonts w:asciiTheme="minorHAnsi" w:hAnsiTheme="minorHAnsi"/>
        </w:rPr>
      </w:pPr>
      <w:r w:rsidRPr="00220656">
        <w:rPr>
          <w:rFonts w:asciiTheme="minorHAnsi" w:hAnsiTheme="minorHAnsi"/>
        </w:rPr>
        <w:t xml:space="preserve">Latvijas sēklaudzētāju asociācijas (LSA) gada kopsapulcē 13.03.2012. Skrīveros par aktuālākajiem jautājumiem sēklu sertifikācijā, sēklaudzēšanas platībām, lielākajiem sēklaudzētājiem. </w:t>
      </w:r>
    </w:p>
    <w:p w:rsidR="00A46ACE" w:rsidRPr="00A46ACE" w:rsidRDefault="00A46ACE" w:rsidP="00A46ACE">
      <w:pPr>
        <w:widowControl w:val="0"/>
        <w:spacing w:before="120"/>
        <w:jc w:val="both"/>
        <w:rPr>
          <w:rFonts w:asciiTheme="minorHAnsi" w:hAnsiTheme="minorHAnsi"/>
        </w:rPr>
      </w:pPr>
      <w:r w:rsidRPr="00A46ACE">
        <w:rPr>
          <w:rFonts w:asciiTheme="minorHAnsi" w:hAnsiTheme="minorHAnsi"/>
        </w:rPr>
        <w:t>Pārskata periodā turpinājās iesāktā sadarbība ar VSIA Latvijas Sertifikācijas centrs (turpmāk – LATSERT) laboratoriju mēslošanas līdzekļu kontroles paraugu testēšanā, kā arī ar Latvijas Lauksaimniecības universitātes zinātniekiem un LATSERT speciālistiem, kuri bija iesaistīti Mēslošanas līdzekļu ekspertu darba grupā.</w:t>
      </w:r>
    </w:p>
    <w:p w:rsidR="0057182C" w:rsidRPr="0057182C" w:rsidRDefault="0057182C" w:rsidP="0057182C">
      <w:pPr>
        <w:widowControl w:val="0"/>
        <w:spacing w:before="120"/>
        <w:jc w:val="both"/>
        <w:rPr>
          <w:rFonts w:asciiTheme="minorHAnsi" w:hAnsiTheme="minorHAnsi"/>
        </w:rPr>
      </w:pPr>
      <w:r w:rsidRPr="0057182C">
        <w:rPr>
          <w:rFonts w:asciiTheme="minorHAnsi" w:hAnsiTheme="minorHAnsi"/>
        </w:rPr>
        <w:t>Pārskata gadā par AAI jautājumiem bij</w:t>
      </w:r>
      <w:r>
        <w:rPr>
          <w:rFonts w:asciiTheme="minorHAnsi" w:hAnsiTheme="minorHAnsi"/>
        </w:rPr>
        <w:t>usi</w:t>
      </w:r>
      <w:r w:rsidRPr="0057182C">
        <w:rPr>
          <w:rFonts w:asciiTheme="minorHAnsi" w:hAnsiTheme="minorHAnsi"/>
        </w:rPr>
        <w:t xml:space="preserve"> diskusijas ar Latvijas agronomu biedrību, Lauksaimniecības organizāciju sadarbības padomi, Zemnieku Saeimu, Augļkopju asociāciju u.c.</w:t>
      </w:r>
    </w:p>
    <w:p w:rsidR="00184282" w:rsidRPr="00184282" w:rsidRDefault="00184282" w:rsidP="00184282">
      <w:pPr>
        <w:widowControl w:val="0"/>
        <w:spacing w:before="120"/>
        <w:jc w:val="both"/>
        <w:rPr>
          <w:rFonts w:asciiTheme="minorHAnsi" w:hAnsiTheme="minorHAnsi"/>
        </w:rPr>
      </w:pPr>
      <w:r w:rsidRPr="00184282">
        <w:rPr>
          <w:rFonts w:asciiTheme="minorHAnsi" w:hAnsiTheme="minorHAnsi"/>
        </w:rPr>
        <w:t>VAAD 10.02.2012 rīkotajā sanāksmē ar nevalstiskajām organizācijām (Lauksaimniecības organizāciju sadarbības padomi, Zemnieku Saeimu, Augļkopju asociāciju u.c.) sniegta informācija par normatīvo aktu prasībām attiecībā uz ML lietošanas un uzskaites uzraudzības jautājumiem, kā arī citiem nevalstiskā sektora organizāciju uzdotajiem jautājumiem.</w:t>
      </w:r>
    </w:p>
    <w:p w:rsidR="009F2BCD" w:rsidRDefault="009F2BCD" w:rsidP="009F2BCD">
      <w:pPr>
        <w:pStyle w:val="Heading2"/>
        <w:spacing w:before="120" w:after="0"/>
        <w:ind w:left="360"/>
        <w:rPr>
          <w:rFonts w:asciiTheme="minorHAnsi" w:hAnsiTheme="minorHAnsi"/>
          <w:i w:val="0"/>
        </w:rPr>
      </w:pPr>
    </w:p>
    <w:p w:rsidR="00A46ACE" w:rsidRDefault="00A46ACE">
      <w:pPr>
        <w:rPr>
          <w:rFonts w:asciiTheme="minorHAnsi" w:hAnsiTheme="minorHAnsi"/>
          <w:color w:val="4A442A" w:themeColor="background2" w:themeShade="40"/>
          <w:sz w:val="44"/>
        </w:rPr>
      </w:pPr>
      <w:r>
        <w:rPr>
          <w:rFonts w:asciiTheme="minorHAnsi" w:hAnsiTheme="minorHAnsi"/>
          <w:color w:val="4A442A" w:themeColor="background2" w:themeShade="40"/>
          <w:sz w:val="44"/>
        </w:rPr>
        <w:br w:type="page"/>
      </w:r>
    </w:p>
    <w:p w:rsidR="009F2BCD" w:rsidRDefault="009F2BCD" w:rsidP="00212C58">
      <w:pPr>
        <w:pStyle w:val="Heading2"/>
      </w:pPr>
      <w:bookmarkStart w:id="39" w:name="_Toc364414728"/>
      <w:bookmarkStart w:id="40" w:name="_Toc364414870"/>
      <w:r>
        <w:lastRenderedPageBreak/>
        <w:t xml:space="preserve">7. </w:t>
      </w:r>
      <w:r w:rsidR="004A3B88">
        <w:t>2013.gada prioritātes</w:t>
      </w:r>
      <w:bookmarkEnd w:id="39"/>
      <w:bookmarkEnd w:id="40"/>
    </w:p>
    <w:p w:rsidR="009F2BCD" w:rsidRPr="009F2BCD" w:rsidRDefault="009F2BCD" w:rsidP="009F2BCD">
      <w:pPr>
        <w:widowControl w:val="0"/>
        <w:spacing w:before="120"/>
        <w:jc w:val="both"/>
        <w:rPr>
          <w:rFonts w:asciiTheme="minorHAnsi" w:hAnsiTheme="minorHAnsi"/>
          <w:sz w:val="28"/>
        </w:rPr>
      </w:pPr>
    </w:p>
    <w:p w:rsidR="009F2BCD" w:rsidRPr="009F2BCD" w:rsidRDefault="009F2BCD" w:rsidP="009F2BCD">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7</w:t>
      </w:r>
      <w:r w:rsidRPr="009F2BCD">
        <w:rPr>
          <w:rFonts w:asciiTheme="minorHAnsi" w:hAnsiTheme="minorHAnsi"/>
          <w:sz w:val="28"/>
        </w:rPr>
        <w:t>.1. Augu aizsardzības joma</w:t>
      </w:r>
    </w:p>
    <w:p w:rsidR="005D6EE2" w:rsidRPr="005D6EE2" w:rsidRDefault="005D6EE2" w:rsidP="005D6EE2">
      <w:pPr>
        <w:widowControl w:val="0"/>
        <w:spacing w:before="120"/>
        <w:jc w:val="both"/>
        <w:rPr>
          <w:rFonts w:asciiTheme="minorHAnsi" w:hAnsiTheme="minorHAnsi"/>
        </w:rPr>
      </w:pPr>
      <w:r w:rsidRPr="005D6EE2">
        <w:rPr>
          <w:rFonts w:asciiTheme="minorHAnsi" w:hAnsiTheme="minorHAnsi"/>
        </w:rPr>
        <w:t xml:space="preserve">Pievērst vairāk uzmanības ne tikai kaitīgā organisma konstatēšanai, identificēšanai, ierobežošanas nepieciešamības izvērtēšanai, bet </w:t>
      </w:r>
      <w:r w:rsidR="00492502">
        <w:rPr>
          <w:rFonts w:asciiTheme="minorHAnsi" w:hAnsiTheme="minorHAnsi"/>
        </w:rPr>
        <w:t xml:space="preserve">arī </w:t>
      </w:r>
      <w:r w:rsidRPr="005D6EE2">
        <w:rPr>
          <w:rFonts w:asciiTheme="minorHAnsi" w:hAnsiTheme="minorHAnsi"/>
        </w:rPr>
        <w:t>šo organismu izplatības prognozēšanai.</w:t>
      </w:r>
    </w:p>
    <w:p w:rsidR="005D6EE2" w:rsidRPr="005D6EE2" w:rsidRDefault="005D6EE2" w:rsidP="005D6EE2">
      <w:pPr>
        <w:widowControl w:val="0"/>
        <w:spacing w:before="120"/>
        <w:jc w:val="both"/>
        <w:rPr>
          <w:rFonts w:asciiTheme="minorHAnsi" w:hAnsiTheme="minorHAnsi"/>
        </w:rPr>
      </w:pPr>
      <w:r w:rsidRPr="005D6EE2">
        <w:rPr>
          <w:rFonts w:asciiTheme="minorHAnsi" w:hAnsiTheme="minorHAnsi"/>
        </w:rPr>
        <w:t>Papildināt un uzlabot kaitīgo organismu uzskaites metodiku.</w:t>
      </w:r>
    </w:p>
    <w:p w:rsidR="005D6EE2" w:rsidRPr="005D6EE2" w:rsidRDefault="005D6EE2" w:rsidP="005D6EE2">
      <w:pPr>
        <w:widowControl w:val="0"/>
        <w:spacing w:before="120"/>
        <w:jc w:val="both"/>
        <w:rPr>
          <w:rFonts w:asciiTheme="minorHAnsi" w:hAnsiTheme="minorHAnsi"/>
        </w:rPr>
      </w:pPr>
      <w:r w:rsidRPr="005D6EE2">
        <w:rPr>
          <w:rFonts w:asciiTheme="minorHAnsi" w:hAnsiTheme="minorHAnsi"/>
        </w:rPr>
        <w:t>Uzlabot sabiedrības informēšanu par monitoringa rezultātiem.</w:t>
      </w:r>
    </w:p>
    <w:p w:rsidR="005D6EE2" w:rsidRPr="005D6EE2" w:rsidRDefault="005D6EE2" w:rsidP="005D6EE2">
      <w:pPr>
        <w:widowControl w:val="0"/>
        <w:spacing w:before="120"/>
        <w:jc w:val="both"/>
        <w:rPr>
          <w:rFonts w:asciiTheme="minorHAnsi" w:hAnsiTheme="minorHAnsi"/>
        </w:rPr>
      </w:pPr>
      <w:r w:rsidRPr="005D6EE2">
        <w:rPr>
          <w:rFonts w:asciiTheme="minorHAnsi" w:hAnsiTheme="minorHAnsi"/>
        </w:rPr>
        <w:t>Veikt ilggadīgu novērojumu datu apkopošanu un analīzi.</w:t>
      </w:r>
    </w:p>
    <w:p w:rsidR="009F2BCD" w:rsidRPr="009F2BCD" w:rsidRDefault="009F2BCD" w:rsidP="009F2BCD">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7</w:t>
      </w:r>
      <w:r w:rsidRPr="009F2BCD">
        <w:rPr>
          <w:rFonts w:asciiTheme="minorHAnsi" w:hAnsiTheme="minorHAnsi"/>
          <w:sz w:val="28"/>
        </w:rPr>
        <w:t>.2. Augu karantīnas joma</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Aktīvi </w:t>
      </w:r>
      <w:r w:rsidR="00C41FBA" w:rsidRPr="00C41FBA">
        <w:rPr>
          <w:rFonts w:asciiTheme="minorHAnsi" w:hAnsiTheme="minorHAnsi"/>
        </w:rPr>
        <w:t>piedalīties darba grupās saistībā ar Eiropas Savienības augu veselības režīma pārskatīšanu, sagatavot un sniegt priekšlikumus</w:t>
      </w:r>
      <w:r>
        <w:rPr>
          <w:rFonts w:asciiTheme="minorHAnsi" w:hAnsiTheme="minorHAnsi"/>
        </w:rPr>
        <w:t xml:space="preserve"> jaunajiem normatīvajiem aktiem.</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Nodrošināt </w:t>
      </w:r>
      <w:r w:rsidR="00C41FBA" w:rsidRPr="00C41FBA">
        <w:rPr>
          <w:rFonts w:asciiTheme="minorHAnsi" w:hAnsiTheme="minorHAnsi"/>
        </w:rPr>
        <w:t xml:space="preserve">aizsargājamās zonas uzturēšanu, turpinot pārbaudes bakteriālās iedegas atklāšanai iepriekšējos gados atklātajos perēkļos un </w:t>
      </w:r>
      <w:proofErr w:type="spellStart"/>
      <w:r w:rsidR="00C41FBA" w:rsidRPr="00C41FBA">
        <w:rPr>
          <w:rFonts w:asciiTheme="minorHAnsi" w:hAnsiTheme="minorHAnsi"/>
        </w:rPr>
        <w:t>buferzonās</w:t>
      </w:r>
      <w:proofErr w:type="spellEnd"/>
      <w:r w:rsidR="00C41FBA" w:rsidRPr="00C41FBA">
        <w:rPr>
          <w:rFonts w:asciiTheme="minorHAnsi" w:hAnsiTheme="minorHAnsi"/>
        </w:rPr>
        <w:t xml:space="preserve">, kā arī monitoringu </w:t>
      </w:r>
      <w:proofErr w:type="spellStart"/>
      <w:r w:rsidR="00C41FBA" w:rsidRPr="00C41FBA">
        <w:rPr>
          <w:rFonts w:asciiTheme="minorHAnsi" w:hAnsiTheme="minorHAnsi"/>
        </w:rPr>
        <w:t>komercdārzos</w:t>
      </w:r>
      <w:proofErr w:type="spellEnd"/>
      <w:r w:rsidR="00C41FBA" w:rsidRPr="00C41FBA">
        <w:rPr>
          <w:rFonts w:asciiTheme="minorHAnsi" w:hAnsiTheme="minorHAnsi"/>
        </w:rPr>
        <w:t>, piemājas dārzos un citās bakteriālās iedegas saimniekaugu augšanas un audzēšanas vietās</w:t>
      </w:r>
      <w:r>
        <w:rPr>
          <w:rFonts w:asciiTheme="minorHAnsi" w:hAnsiTheme="minorHAnsi"/>
        </w:rPr>
        <w:t>.</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Saskaņot </w:t>
      </w:r>
      <w:r w:rsidR="00C41FBA" w:rsidRPr="00C41FBA">
        <w:rPr>
          <w:rFonts w:asciiTheme="minorHAnsi" w:hAnsiTheme="minorHAnsi"/>
        </w:rPr>
        <w:t>rīcības plānu ārkārtas situācijai PKN  konstatēšanas gadījumā ar iesaistītajām institūcijām un apstiprināt to</w:t>
      </w:r>
      <w:r>
        <w:rPr>
          <w:rFonts w:asciiTheme="minorHAnsi" w:hAnsiTheme="minorHAnsi"/>
        </w:rPr>
        <w:t>.</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Izstrādāt </w:t>
      </w:r>
      <w:r w:rsidR="00C41FBA" w:rsidRPr="00C41FBA">
        <w:rPr>
          <w:rFonts w:asciiTheme="minorHAnsi" w:hAnsiTheme="minorHAnsi"/>
        </w:rPr>
        <w:t xml:space="preserve">rīcības plānu ārkārtas situācijai </w:t>
      </w:r>
      <w:proofErr w:type="spellStart"/>
      <w:r w:rsidR="00C41FBA" w:rsidRPr="00C41FBA">
        <w:rPr>
          <w:rFonts w:asciiTheme="minorHAnsi" w:hAnsiTheme="minorHAnsi"/>
        </w:rPr>
        <w:t>Anoplophora</w:t>
      </w:r>
      <w:proofErr w:type="spellEnd"/>
      <w:r w:rsidR="00C41FBA" w:rsidRPr="00C41FBA">
        <w:rPr>
          <w:rFonts w:asciiTheme="minorHAnsi" w:hAnsiTheme="minorHAnsi"/>
        </w:rPr>
        <w:t xml:space="preserve"> </w:t>
      </w:r>
      <w:proofErr w:type="spellStart"/>
      <w:r w:rsidR="00C41FBA" w:rsidRPr="00C41FBA">
        <w:rPr>
          <w:rFonts w:asciiTheme="minorHAnsi" w:hAnsiTheme="minorHAnsi"/>
        </w:rPr>
        <w:t>glabripennis</w:t>
      </w:r>
      <w:proofErr w:type="spellEnd"/>
      <w:r w:rsidR="00C41FBA" w:rsidRPr="00C41FBA">
        <w:rPr>
          <w:rFonts w:asciiTheme="minorHAnsi" w:hAnsiTheme="minorHAnsi"/>
        </w:rPr>
        <w:t xml:space="preserve"> konstatēšanas gadījumā</w:t>
      </w:r>
      <w:r>
        <w:rPr>
          <w:rFonts w:asciiTheme="minorHAnsi" w:hAnsiTheme="minorHAnsi"/>
        </w:rPr>
        <w:t>.</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Turpināt </w:t>
      </w:r>
      <w:r w:rsidR="00C41FBA" w:rsidRPr="00C41FBA">
        <w:rPr>
          <w:rFonts w:asciiTheme="minorHAnsi" w:hAnsiTheme="minorHAnsi"/>
        </w:rPr>
        <w:t>intensīvas pārbaudes PKN atklāšanai Latvijas teritorijā, apsekojot un pārbaudot mežaudzes, cirsmu vietas, riska zonas un no trešajām valstīm un Portugāles ievesto koksnes iepakojamo materiālu</w:t>
      </w:r>
      <w:r>
        <w:rPr>
          <w:rFonts w:asciiTheme="minorHAnsi" w:hAnsiTheme="minorHAnsi"/>
        </w:rPr>
        <w:t>.</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Pilnveidot </w:t>
      </w:r>
      <w:r w:rsidR="00C41FBA" w:rsidRPr="00C41FBA">
        <w:rPr>
          <w:rFonts w:asciiTheme="minorHAnsi" w:hAnsiTheme="minorHAnsi"/>
        </w:rPr>
        <w:t>KUVIS, nodrošinot atskaišu apkopošanu no informācijas sistēmā ievadītās informācij</w:t>
      </w:r>
      <w:r>
        <w:rPr>
          <w:rFonts w:asciiTheme="minorHAnsi" w:hAnsiTheme="minorHAnsi"/>
        </w:rPr>
        <w:t>as par veiktajām pārbaudēm.</w:t>
      </w:r>
    </w:p>
    <w:p w:rsidR="00C41FBA" w:rsidRPr="00C41FBA" w:rsidRDefault="00492502" w:rsidP="00C41FBA">
      <w:pPr>
        <w:widowControl w:val="0"/>
        <w:tabs>
          <w:tab w:val="num" w:pos="1080"/>
        </w:tabs>
        <w:spacing w:before="120"/>
        <w:jc w:val="both"/>
        <w:rPr>
          <w:rFonts w:asciiTheme="minorHAnsi" w:hAnsiTheme="minorHAnsi"/>
        </w:rPr>
      </w:pPr>
      <w:r w:rsidRPr="00C41FBA">
        <w:rPr>
          <w:rFonts w:asciiTheme="minorHAnsi" w:hAnsiTheme="minorHAnsi"/>
        </w:rPr>
        <w:t xml:space="preserve">Nodrošināt </w:t>
      </w:r>
      <w:r w:rsidR="00C41FBA" w:rsidRPr="00C41FBA">
        <w:rPr>
          <w:rFonts w:asciiTheme="minorHAnsi" w:hAnsiTheme="minorHAnsi"/>
        </w:rPr>
        <w:t>augu un augu produktu eksportu.</w:t>
      </w:r>
    </w:p>
    <w:p w:rsidR="009F2BCD" w:rsidRPr="009F2BCD" w:rsidRDefault="009F2BCD" w:rsidP="009F2BCD">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7</w:t>
      </w:r>
      <w:r w:rsidRPr="009F2BCD">
        <w:rPr>
          <w:rFonts w:asciiTheme="minorHAnsi" w:hAnsiTheme="minorHAnsi"/>
          <w:sz w:val="28"/>
        </w:rPr>
        <w:t>.3. Sēklu kontroles joma</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Starptautiskajām prasībām atbilstošas sēklu sertifikācijas sistēmas darbības nodrošināšanai 2013.gadā ir plānots:</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novērtēt sēklu kvalitatīvās īpašības 4300 paraugiem;</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 xml:space="preserve">noņemt 1090 sēklu paraugus sertifikācijai; </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 xml:space="preserve">izsniegt 830 sēklu sertifikātus; </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 xml:space="preserve">veikt 213kartupeļu bumbuļu analīzes; </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sēklaudzēšanas sējumu lauku apskates 7100 ha platībā, sastādot 740 lauku apskates protokolus;</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Izsniegt 70000 oficiālo etiķešu, tai skaitā 28000 kartupeļu augu pases;</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reģistrēt 200 licences līgumus par šķirņu pavairošanu;</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Šķirnes tīrības un šķirnes identitātes izvērtēšanai lauka pēcpārbaudē sagatavot 425 sertificēto sēklu partiju paraugus, veikt 1000 lauciņu vērtēšanu;</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izvērtēt šķirnes nosaukuma atbilstību 20 šķirnēm;</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piešķirt selekcionāra tiesības 10 šķirņu īpašniekiem;</w:t>
      </w:r>
    </w:p>
    <w:p w:rsidR="00492502" w:rsidRPr="00492502" w:rsidRDefault="00492502" w:rsidP="00492502">
      <w:pPr>
        <w:pStyle w:val="ListParagraph"/>
        <w:widowControl w:val="0"/>
        <w:numPr>
          <w:ilvl w:val="0"/>
          <w:numId w:val="32"/>
        </w:numPr>
        <w:tabs>
          <w:tab w:val="num" w:pos="540"/>
          <w:tab w:val="num" w:pos="1080"/>
        </w:tabs>
        <w:spacing w:before="120"/>
        <w:jc w:val="both"/>
        <w:rPr>
          <w:rFonts w:asciiTheme="minorHAnsi" w:hAnsiTheme="minorHAnsi"/>
        </w:rPr>
      </w:pPr>
      <w:r w:rsidRPr="00492502">
        <w:rPr>
          <w:rFonts w:asciiTheme="minorHAnsi" w:hAnsiTheme="minorHAnsi"/>
        </w:rPr>
        <w:t xml:space="preserve">iekļaut Latvijas augu šķirņu katalogā 20 jaunas šķirnes; </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lastRenderedPageBreak/>
        <w:t>kā arī:</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Izsniegt 1000 atļaujas bioloģiskajiem lauksaimniekiem konvencionālās sēklas izmantošanai bioloģiskajā lauksaimniecībā;</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Nodrošināt līdzdalību Nacionālās augu šķirņu padomes un tās ekspertu grupu darbā;</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Kārtot Sēklaudzētāju un sēklu tirgotāju reģistru, Latvijas aizsargāto augu šķirņu valsts reģistru, Latvijas augu šķirņu katalogu un Ģenētiski modificēto kultūraugu audzētāju reģistru (sadaļu par GMO brīvajām zonām);</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Uzturēt</w:t>
      </w:r>
      <w:r w:rsidR="00876579">
        <w:rPr>
          <w:rFonts w:asciiTheme="minorHAnsi" w:hAnsiTheme="minorHAnsi"/>
        </w:rPr>
        <w:t xml:space="preserve"> VAAD mājas</w:t>
      </w:r>
      <w:r w:rsidRPr="00492502">
        <w:rPr>
          <w:rFonts w:asciiTheme="minorHAnsi" w:hAnsiTheme="minorHAnsi"/>
        </w:rPr>
        <w:t>lapā informāciju par šķirnes AVS pārbaudes veikšanas iespējām;</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Sagatavot informāciju Starptautiskajai jaunu augu šķirņu aizsardzības organizācijai (UPOV), Pasaules intelektuālā īpašuma organizācijai (WIPO) un Kopienas augu šķirņu birojam (CPVO) par aizsargātajām šķirnēm un Kopienas augu šķirņu biroja datu bāzei, Eiropas Savienības kopējam lauksaimniecības augu sugu šķirņu katalogam un Ekonomiskās sadarbības un attīstības organizācijas (OECD) šķirņu katalogam par jaunajām šķirnēm;</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Sagatavot informāciju EK par konvencionālo sēklu atļaujām bioloģiskajā lauksaimniecībā, sertifikācijai paredzētajām platībām un sagatavoto sertificēto sēklu..</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Turpmākie uzdevumi kvalitātes sistēmas da</w:t>
      </w:r>
      <w:r>
        <w:rPr>
          <w:rFonts w:asciiTheme="minorHAnsi" w:hAnsiTheme="minorHAnsi"/>
        </w:rPr>
        <w:t>rbības uzlabošanai 2013.gadā ir:</w:t>
      </w:r>
    </w:p>
    <w:p w:rsidR="00492502" w:rsidRPr="00492502" w:rsidRDefault="00492502" w:rsidP="00492502">
      <w:pPr>
        <w:pStyle w:val="ListParagraph"/>
        <w:widowControl w:val="0"/>
        <w:numPr>
          <w:ilvl w:val="0"/>
          <w:numId w:val="33"/>
        </w:numPr>
        <w:tabs>
          <w:tab w:val="num" w:pos="1080"/>
        </w:tabs>
        <w:spacing w:before="120"/>
        <w:jc w:val="both"/>
        <w:rPr>
          <w:rFonts w:asciiTheme="minorHAnsi" w:hAnsiTheme="minorHAnsi"/>
        </w:rPr>
      </w:pPr>
      <w:r w:rsidRPr="00492502">
        <w:rPr>
          <w:rFonts w:asciiTheme="minorHAnsi" w:hAnsiTheme="minorHAnsi"/>
        </w:rPr>
        <w:t>ISTA noteikumu aktualizēšana un izmaiņu iestrādāšana NSKL darba aprakstos.</w:t>
      </w:r>
    </w:p>
    <w:p w:rsidR="00492502" w:rsidRPr="00492502" w:rsidRDefault="00492502" w:rsidP="00492502">
      <w:pPr>
        <w:pStyle w:val="ListParagraph"/>
        <w:widowControl w:val="0"/>
        <w:numPr>
          <w:ilvl w:val="0"/>
          <w:numId w:val="33"/>
        </w:numPr>
        <w:tabs>
          <w:tab w:val="num" w:pos="1080"/>
        </w:tabs>
        <w:spacing w:before="120"/>
        <w:jc w:val="both"/>
        <w:rPr>
          <w:rFonts w:asciiTheme="minorHAnsi" w:hAnsiTheme="minorHAnsi"/>
        </w:rPr>
      </w:pPr>
      <w:r w:rsidRPr="00492502">
        <w:rPr>
          <w:rFonts w:asciiTheme="minorHAnsi" w:hAnsiTheme="minorHAnsi"/>
        </w:rPr>
        <w:t>Turpināt references materiāla kolekcijas izveidi sēklu veselīgumā.</w:t>
      </w:r>
    </w:p>
    <w:p w:rsidR="00492502" w:rsidRPr="00492502" w:rsidRDefault="00492502" w:rsidP="00492502">
      <w:pPr>
        <w:pStyle w:val="ListParagraph"/>
        <w:widowControl w:val="0"/>
        <w:numPr>
          <w:ilvl w:val="0"/>
          <w:numId w:val="33"/>
        </w:numPr>
        <w:tabs>
          <w:tab w:val="num" w:pos="1080"/>
        </w:tabs>
        <w:spacing w:before="120"/>
        <w:jc w:val="both"/>
        <w:rPr>
          <w:rFonts w:asciiTheme="minorHAnsi" w:hAnsiTheme="minorHAnsi"/>
        </w:rPr>
      </w:pPr>
      <w:r w:rsidRPr="00492502">
        <w:rPr>
          <w:rFonts w:asciiTheme="minorHAnsi" w:hAnsiTheme="minorHAnsi"/>
        </w:rPr>
        <w:t xml:space="preserve">Piedalīties ISTA profesionalitātes pārbaudes analīzēs (februārī </w:t>
      </w:r>
      <w:proofErr w:type="spellStart"/>
      <w:r w:rsidRPr="00492502">
        <w:rPr>
          <w:rFonts w:asciiTheme="minorHAnsi" w:hAnsiTheme="minorHAnsi"/>
        </w:rPr>
        <w:t>Phalaris</w:t>
      </w:r>
      <w:proofErr w:type="spellEnd"/>
      <w:r w:rsidRPr="00492502">
        <w:rPr>
          <w:rFonts w:asciiTheme="minorHAnsi" w:hAnsiTheme="minorHAnsi"/>
        </w:rPr>
        <w:t xml:space="preserve"> </w:t>
      </w:r>
      <w:proofErr w:type="spellStart"/>
      <w:r w:rsidRPr="00492502">
        <w:rPr>
          <w:rFonts w:asciiTheme="minorHAnsi" w:hAnsiTheme="minorHAnsi"/>
        </w:rPr>
        <w:t>arundinacea</w:t>
      </w:r>
      <w:proofErr w:type="spellEnd"/>
      <w:r w:rsidRPr="00492502">
        <w:rPr>
          <w:rFonts w:asciiTheme="minorHAnsi" w:hAnsiTheme="minorHAnsi"/>
        </w:rPr>
        <w:t xml:space="preserve"> (</w:t>
      </w:r>
      <w:proofErr w:type="spellStart"/>
      <w:r w:rsidRPr="00492502">
        <w:rPr>
          <w:rFonts w:asciiTheme="minorHAnsi" w:hAnsiTheme="minorHAnsi"/>
        </w:rPr>
        <w:t>miežabrālis</w:t>
      </w:r>
      <w:proofErr w:type="spellEnd"/>
      <w:r w:rsidRPr="00492502">
        <w:rPr>
          <w:rFonts w:asciiTheme="minorHAnsi" w:hAnsiTheme="minorHAnsi"/>
        </w:rPr>
        <w:t xml:space="preserve">) – tīrībai, citu augu sēklām, dīgtspējai, ISTA sertifikāta izrakstīšanai , jūnijā </w:t>
      </w:r>
      <w:proofErr w:type="spellStart"/>
      <w:r w:rsidRPr="00492502">
        <w:rPr>
          <w:rFonts w:asciiTheme="minorHAnsi" w:hAnsiTheme="minorHAnsi"/>
        </w:rPr>
        <w:t>Pisum</w:t>
      </w:r>
      <w:proofErr w:type="spellEnd"/>
      <w:r w:rsidRPr="00492502">
        <w:rPr>
          <w:rFonts w:asciiTheme="minorHAnsi" w:hAnsiTheme="minorHAnsi"/>
        </w:rPr>
        <w:t xml:space="preserve"> </w:t>
      </w:r>
      <w:proofErr w:type="spellStart"/>
      <w:r w:rsidRPr="00492502">
        <w:rPr>
          <w:rFonts w:asciiTheme="minorHAnsi" w:hAnsiTheme="minorHAnsi"/>
        </w:rPr>
        <w:t>sativum</w:t>
      </w:r>
      <w:proofErr w:type="spellEnd"/>
      <w:r w:rsidRPr="00492502">
        <w:rPr>
          <w:rFonts w:asciiTheme="minorHAnsi" w:hAnsiTheme="minorHAnsi"/>
        </w:rPr>
        <w:t xml:space="preserve"> (zirņi) dīgtspējai un oktobrī </w:t>
      </w:r>
      <w:proofErr w:type="spellStart"/>
      <w:r w:rsidRPr="00492502">
        <w:rPr>
          <w:rFonts w:asciiTheme="minorHAnsi" w:hAnsiTheme="minorHAnsi"/>
        </w:rPr>
        <w:t>Brassica</w:t>
      </w:r>
      <w:proofErr w:type="spellEnd"/>
      <w:r w:rsidRPr="00492502">
        <w:rPr>
          <w:rFonts w:asciiTheme="minorHAnsi" w:hAnsiTheme="minorHAnsi"/>
        </w:rPr>
        <w:t xml:space="preserve"> </w:t>
      </w:r>
      <w:proofErr w:type="spellStart"/>
      <w:r w:rsidRPr="00492502">
        <w:rPr>
          <w:rFonts w:asciiTheme="minorHAnsi" w:hAnsiTheme="minorHAnsi"/>
        </w:rPr>
        <w:t>napus</w:t>
      </w:r>
      <w:proofErr w:type="spellEnd"/>
      <w:r w:rsidRPr="00492502">
        <w:rPr>
          <w:rFonts w:asciiTheme="minorHAnsi" w:hAnsiTheme="minorHAnsi"/>
        </w:rPr>
        <w:t xml:space="preserve"> (rapsis) – tīrībai, citu augu sēklas, dīgtspējai, mitrumam, dzīvotspējai). </w:t>
      </w:r>
    </w:p>
    <w:p w:rsidR="00492502" w:rsidRPr="00492502" w:rsidRDefault="00492502" w:rsidP="00492502">
      <w:pPr>
        <w:pStyle w:val="ListParagraph"/>
        <w:widowControl w:val="0"/>
        <w:numPr>
          <w:ilvl w:val="0"/>
          <w:numId w:val="33"/>
        </w:numPr>
        <w:tabs>
          <w:tab w:val="num" w:pos="1080"/>
        </w:tabs>
        <w:spacing w:before="120"/>
        <w:jc w:val="both"/>
        <w:rPr>
          <w:rFonts w:asciiTheme="minorHAnsi" w:hAnsiTheme="minorHAnsi"/>
        </w:rPr>
      </w:pPr>
      <w:r w:rsidRPr="00492502">
        <w:rPr>
          <w:rFonts w:asciiTheme="minorHAnsi" w:hAnsiTheme="minorHAnsi"/>
        </w:rPr>
        <w:t xml:space="preserve">Veikt konstatēto korektīvo un preventīvo darbību ieviešanas efektivitātes analīzi. </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 xml:space="preserve">Turpināt KUVIS pilnveidošanu pie darba kartīšu aizpildīšanas, saskaņā ar KUVIS attīstības stratēģijas plānu 2013.gadam.  </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 xml:space="preserve">Piedalīties Ziemeļvalstu sēklu padomes sanāksmē Turku, Somijā, ISTA kongresā </w:t>
      </w:r>
      <w:proofErr w:type="spellStart"/>
      <w:r w:rsidRPr="00492502">
        <w:rPr>
          <w:rFonts w:asciiTheme="minorHAnsi" w:hAnsiTheme="minorHAnsi"/>
        </w:rPr>
        <w:t>Antālijā</w:t>
      </w:r>
      <w:proofErr w:type="spellEnd"/>
      <w:r w:rsidRPr="00492502">
        <w:rPr>
          <w:rFonts w:asciiTheme="minorHAnsi" w:hAnsiTheme="minorHAnsi"/>
        </w:rPr>
        <w:t xml:space="preserve">, Turcijā, Eiropas sēklu sertifikācijas institūciju asociācijas (ESCAA) sanāksmē </w:t>
      </w:r>
      <w:proofErr w:type="spellStart"/>
      <w:r w:rsidRPr="00492502">
        <w:rPr>
          <w:rFonts w:asciiTheme="minorHAnsi" w:hAnsiTheme="minorHAnsi"/>
        </w:rPr>
        <w:t>Svalbard</w:t>
      </w:r>
      <w:proofErr w:type="spellEnd"/>
      <w:r w:rsidRPr="00492502">
        <w:rPr>
          <w:rFonts w:asciiTheme="minorHAnsi" w:hAnsiTheme="minorHAnsi"/>
        </w:rPr>
        <w:t xml:space="preserve">, Norvēģijā, OECD ikgadējā sanāksmē Parīzē un DLF </w:t>
      </w:r>
      <w:proofErr w:type="spellStart"/>
      <w:r w:rsidRPr="00492502">
        <w:rPr>
          <w:rFonts w:asciiTheme="minorHAnsi" w:hAnsiTheme="minorHAnsi"/>
        </w:rPr>
        <w:t>Trifolium</w:t>
      </w:r>
      <w:proofErr w:type="spellEnd"/>
      <w:r w:rsidRPr="00492502">
        <w:rPr>
          <w:rFonts w:asciiTheme="minorHAnsi" w:hAnsiTheme="minorHAnsi"/>
        </w:rPr>
        <w:t xml:space="preserve"> organizētajās sēklu paraugu noņēmēju mācībās Dānijā. </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Organizēt, sagatavot un nodrošināt apmācības sēklu jomas speciālistiem no dažādām Krievijas pilsētām par sēklu sertifikāciju saskaņā ar Ekonomiskās attīstības un sadarbības organizācijas (OECD) sēklu shēmu prasībām un izmaiņām ISTA noteikumos.</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 xml:space="preserve">Turpināt sadarbību ar firmām </w:t>
      </w:r>
      <w:proofErr w:type="spellStart"/>
      <w:r w:rsidRPr="00492502">
        <w:rPr>
          <w:rFonts w:asciiTheme="minorHAnsi" w:hAnsiTheme="minorHAnsi"/>
        </w:rPr>
        <w:t>Vikima</w:t>
      </w:r>
      <w:proofErr w:type="spellEnd"/>
      <w:r w:rsidRPr="00492502">
        <w:rPr>
          <w:rFonts w:asciiTheme="minorHAnsi" w:hAnsiTheme="minorHAnsi"/>
        </w:rPr>
        <w:t xml:space="preserve"> </w:t>
      </w:r>
      <w:proofErr w:type="spellStart"/>
      <w:r w:rsidRPr="00492502">
        <w:rPr>
          <w:rFonts w:asciiTheme="minorHAnsi" w:hAnsiTheme="minorHAnsi"/>
        </w:rPr>
        <w:t>Seed</w:t>
      </w:r>
      <w:proofErr w:type="spellEnd"/>
      <w:r w:rsidRPr="00492502">
        <w:rPr>
          <w:rFonts w:asciiTheme="minorHAnsi" w:hAnsiTheme="minorHAnsi"/>
        </w:rPr>
        <w:t xml:space="preserve"> un DLF </w:t>
      </w:r>
      <w:proofErr w:type="spellStart"/>
      <w:r w:rsidRPr="00492502">
        <w:rPr>
          <w:rFonts w:asciiTheme="minorHAnsi" w:hAnsiTheme="minorHAnsi"/>
        </w:rPr>
        <w:t>Trifolium</w:t>
      </w:r>
      <w:proofErr w:type="spellEnd"/>
      <w:r w:rsidRPr="00492502">
        <w:rPr>
          <w:rFonts w:asciiTheme="minorHAnsi" w:hAnsiTheme="minorHAnsi"/>
        </w:rPr>
        <w:t>.</w:t>
      </w:r>
    </w:p>
    <w:p w:rsidR="00492502" w:rsidRPr="00492502" w:rsidRDefault="00492502" w:rsidP="00492502">
      <w:pPr>
        <w:widowControl w:val="0"/>
        <w:tabs>
          <w:tab w:val="num" w:pos="1080"/>
        </w:tabs>
        <w:spacing w:before="120"/>
        <w:jc w:val="both"/>
        <w:rPr>
          <w:rFonts w:asciiTheme="minorHAnsi" w:hAnsiTheme="minorHAnsi"/>
        </w:rPr>
      </w:pPr>
      <w:r w:rsidRPr="00492502">
        <w:rPr>
          <w:rFonts w:asciiTheme="minorHAnsi" w:hAnsiTheme="minorHAnsi"/>
        </w:rPr>
        <w:t>Izvērtēt sadarbības iespējas ar Krievijas sēklu kontroles laboratorijām par riņķa analīzi sēklu veselīgumā.</w:t>
      </w:r>
    </w:p>
    <w:p w:rsidR="009F2BCD" w:rsidRPr="009F2BCD" w:rsidRDefault="009F2BCD" w:rsidP="009F2BCD">
      <w:pPr>
        <w:widowControl w:val="0"/>
        <w:shd w:val="clear" w:color="auto" w:fill="EAF1DD" w:themeFill="accent3" w:themeFillTint="33"/>
        <w:spacing w:before="120"/>
        <w:jc w:val="both"/>
        <w:rPr>
          <w:rFonts w:asciiTheme="minorHAnsi" w:hAnsiTheme="minorHAnsi"/>
          <w:sz w:val="28"/>
        </w:rPr>
      </w:pPr>
      <w:r>
        <w:rPr>
          <w:rFonts w:asciiTheme="minorHAnsi" w:hAnsiTheme="minorHAnsi"/>
          <w:sz w:val="28"/>
        </w:rPr>
        <w:t>7</w:t>
      </w:r>
      <w:r w:rsidRPr="009F2BCD">
        <w:rPr>
          <w:rFonts w:asciiTheme="minorHAnsi" w:hAnsiTheme="minorHAnsi"/>
          <w:sz w:val="28"/>
        </w:rPr>
        <w:t>.4. Agroķīmijas joma</w:t>
      </w:r>
    </w:p>
    <w:p w:rsidR="00A46ACE" w:rsidRDefault="00A46ACE" w:rsidP="00A46ACE">
      <w:pPr>
        <w:widowControl w:val="0"/>
        <w:spacing w:before="120"/>
        <w:jc w:val="both"/>
        <w:rPr>
          <w:rFonts w:asciiTheme="minorHAnsi" w:hAnsiTheme="minorHAnsi"/>
        </w:rPr>
      </w:pPr>
      <w:r w:rsidRPr="00A46ACE">
        <w:rPr>
          <w:rFonts w:asciiTheme="minorHAnsi" w:hAnsiTheme="minorHAnsi"/>
        </w:rPr>
        <w:t>2013.gadā tiks turpināta sadarbība ar mēslošanas līdzekļu ekspertiem, lai novērtētu netipisku mēslošanas līdzekļu, augu augšanas veicinātāju un mikrobioloģisku preparātu atbilstību mēslošanas līdzekļu normatīvajiem aktiem.</w:t>
      </w:r>
    </w:p>
    <w:p w:rsidR="00A46ACE" w:rsidRPr="00A46ACE" w:rsidRDefault="00A46ACE" w:rsidP="00A46ACE">
      <w:pPr>
        <w:widowControl w:val="0"/>
        <w:spacing w:before="120"/>
        <w:jc w:val="both"/>
        <w:rPr>
          <w:rFonts w:asciiTheme="minorHAnsi" w:hAnsiTheme="minorHAnsi"/>
        </w:rPr>
      </w:pPr>
      <w:r w:rsidRPr="00A46ACE">
        <w:rPr>
          <w:rFonts w:asciiTheme="minorHAnsi" w:hAnsiTheme="minorHAnsi"/>
        </w:rPr>
        <w:t xml:space="preserve">Paralēli plānots strādāt pie jomas inspektoru un darbinieku kvalifikācijas uzturēšanas pasākumu nodrošināšanas, kā arī </w:t>
      </w:r>
      <w:r w:rsidR="004B6E67">
        <w:rPr>
          <w:rFonts w:asciiTheme="minorHAnsi" w:hAnsiTheme="minorHAnsi"/>
        </w:rPr>
        <w:t>VAAD</w:t>
      </w:r>
      <w:r w:rsidRPr="00A46ACE">
        <w:rPr>
          <w:rFonts w:asciiTheme="minorHAnsi" w:hAnsiTheme="minorHAnsi"/>
        </w:rPr>
        <w:t xml:space="preserve"> KUVIS pilnve</w:t>
      </w:r>
      <w:smartTag w:uri="urn:schemas-microsoft-com:office:smarttags" w:element="PersonName">
        <w:r w:rsidRPr="00A46ACE">
          <w:rPr>
            <w:rFonts w:asciiTheme="minorHAnsi" w:hAnsiTheme="minorHAnsi"/>
          </w:rPr>
          <w:t>id</w:t>
        </w:r>
      </w:smartTag>
      <w:r w:rsidRPr="00A46ACE">
        <w:rPr>
          <w:rFonts w:asciiTheme="minorHAnsi" w:hAnsiTheme="minorHAnsi"/>
        </w:rPr>
        <w:t>ošanas attiecīgajā jomā.</w:t>
      </w:r>
    </w:p>
    <w:p w:rsidR="00A46ACE" w:rsidRPr="00A46ACE" w:rsidRDefault="00A46ACE" w:rsidP="00A46ACE">
      <w:pPr>
        <w:widowControl w:val="0"/>
        <w:spacing w:before="120"/>
        <w:jc w:val="both"/>
        <w:rPr>
          <w:rFonts w:asciiTheme="minorHAnsi" w:hAnsiTheme="minorHAnsi"/>
        </w:rPr>
      </w:pPr>
      <w:r>
        <w:rPr>
          <w:rFonts w:asciiTheme="minorHAnsi" w:hAnsiTheme="minorHAnsi"/>
        </w:rPr>
        <w:lastRenderedPageBreak/>
        <w:t>2013.</w:t>
      </w:r>
      <w:r w:rsidRPr="00A46ACE">
        <w:rPr>
          <w:rFonts w:asciiTheme="minorHAnsi" w:hAnsiTheme="minorHAnsi"/>
        </w:rPr>
        <w:t>gada galvenie uzdevumi un pasākumi</w:t>
      </w:r>
      <w:r>
        <w:rPr>
          <w:rFonts w:asciiTheme="minorHAnsi" w:hAnsiTheme="minorHAnsi"/>
        </w:rPr>
        <w:t>:</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Nodrošināt ML ar EK marķējumu uzskaiti atbilstoši MK 27.01.2009 noteikumu nr.76 „Aprites uzraudzības un kontroles kārtība mēslošanas līdzekļiem ar marķējumu „EK mēslošanas līdzeklis”” prasībām.</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 xml:space="preserve">Saņemot informāciju no bioloģiskās lauksaimniecības uzraudzības un kontroles iestādēm par reģistrēta mēslošanas līdzekļa atbilstību marķēšanai vai </w:t>
      </w:r>
      <w:proofErr w:type="spellStart"/>
      <w:r w:rsidRPr="00A46ACE">
        <w:rPr>
          <w:rFonts w:asciiTheme="minorHAnsi" w:hAnsiTheme="minorHAnsi"/>
        </w:rPr>
        <w:t>etiķetēšanai</w:t>
      </w:r>
      <w:proofErr w:type="spellEnd"/>
      <w:r w:rsidRPr="00A46ACE">
        <w:rPr>
          <w:rFonts w:asciiTheme="minorHAnsi" w:hAnsiTheme="minorHAnsi"/>
        </w:rPr>
        <w:t xml:space="preserve"> ar norādi ,,Bioloģiskā lauksaimniecība”, nodrošināt reģistrēto mēslošanas līdzekļu saraksta papildināšanu ar attiecīgajām norādēm par bioloģisko lauksaimniecību.</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Nodrošināt reģionālo nodaļu mēslošanas līdzekļu inspektoru metodiskā darba virsuzraudzību.</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 xml:space="preserve">Sniegt priekšlikumus </w:t>
      </w:r>
      <w:r w:rsidR="004B6E67">
        <w:rPr>
          <w:rFonts w:asciiTheme="minorHAnsi" w:hAnsiTheme="minorHAnsi"/>
        </w:rPr>
        <w:t>VAAD</w:t>
      </w:r>
      <w:r w:rsidR="004B6E67" w:rsidRPr="00A46ACE">
        <w:rPr>
          <w:rFonts w:asciiTheme="minorHAnsi" w:hAnsiTheme="minorHAnsi"/>
        </w:rPr>
        <w:t xml:space="preserve"> </w:t>
      </w:r>
      <w:r w:rsidRPr="00A46ACE">
        <w:rPr>
          <w:rFonts w:asciiTheme="minorHAnsi" w:hAnsiTheme="minorHAnsi"/>
        </w:rPr>
        <w:t>KUVIS pilnve</w:t>
      </w:r>
      <w:smartTag w:uri="urn:schemas-microsoft-com:office:smarttags" w:element="PersonName">
        <w:r w:rsidRPr="00A46ACE">
          <w:rPr>
            <w:rFonts w:asciiTheme="minorHAnsi" w:hAnsiTheme="minorHAnsi"/>
          </w:rPr>
          <w:t>id</w:t>
        </w:r>
      </w:smartTag>
      <w:r w:rsidRPr="00A46ACE">
        <w:rPr>
          <w:rFonts w:asciiTheme="minorHAnsi" w:hAnsiTheme="minorHAnsi"/>
        </w:rPr>
        <w:t>ošanai ML jomā.</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Līdzdarboties ZM mēslošanas līdzekļu darba grupā, izvērtēt ZM izstrādātos normatīvo aktu projektus.</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 xml:space="preserve">Izstrādāt grozījumus </w:t>
      </w:r>
      <w:r w:rsidR="004B6E67">
        <w:rPr>
          <w:rFonts w:asciiTheme="minorHAnsi" w:hAnsiTheme="minorHAnsi"/>
        </w:rPr>
        <w:t>VAAD</w:t>
      </w:r>
      <w:r w:rsidR="004B6E67" w:rsidRPr="00A46ACE">
        <w:rPr>
          <w:rFonts w:asciiTheme="minorHAnsi" w:hAnsiTheme="minorHAnsi"/>
        </w:rPr>
        <w:t xml:space="preserve"> </w:t>
      </w:r>
      <w:r w:rsidRPr="00A46ACE">
        <w:rPr>
          <w:rFonts w:asciiTheme="minorHAnsi" w:hAnsiTheme="minorHAnsi"/>
        </w:rPr>
        <w:t>instrukcijā par mēslošanas līdzekļu kontroles paraugu ņemšanu.</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Ieviest mēslošanas līdzekļu savstarpējo atzīšanu (citās ES dalībvalstīs ražotu un atzītu mēslošanas līdzekļu saraksta ve</w:t>
      </w:r>
      <w:smartTag w:uri="urn:schemas-microsoft-com:office:smarttags" w:element="PersonName">
        <w:r w:rsidRPr="00A46ACE">
          <w:rPr>
            <w:rFonts w:asciiTheme="minorHAnsi" w:hAnsiTheme="minorHAnsi"/>
          </w:rPr>
          <w:t>id</w:t>
        </w:r>
      </w:smartTag>
      <w:r w:rsidRPr="00A46ACE">
        <w:rPr>
          <w:rFonts w:asciiTheme="minorHAnsi" w:hAnsiTheme="minorHAnsi"/>
        </w:rPr>
        <w:t>ošanu).</w:t>
      </w:r>
    </w:p>
    <w:p w:rsidR="00A46ACE" w:rsidRPr="00A46ACE" w:rsidRDefault="00A46ACE" w:rsidP="00A46ACE">
      <w:pPr>
        <w:pStyle w:val="ListParagraph"/>
        <w:widowControl w:val="0"/>
        <w:numPr>
          <w:ilvl w:val="0"/>
          <w:numId w:val="23"/>
        </w:numPr>
        <w:spacing w:before="120"/>
        <w:jc w:val="both"/>
        <w:rPr>
          <w:rFonts w:asciiTheme="minorHAnsi" w:hAnsiTheme="minorHAnsi"/>
        </w:rPr>
      </w:pPr>
      <w:r w:rsidRPr="00A46ACE">
        <w:rPr>
          <w:rFonts w:asciiTheme="minorHAnsi" w:hAnsiTheme="minorHAnsi"/>
        </w:rPr>
        <w:t xml:space="preserve">Līdzdalība Tirgus uzraudzības padomē. Darbs ar RAPEX sistēmu. </w:t>
      </w:r>
    </w:p>
    <w:p w:rsidR="0057182C" w:rsidRP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KUVIS integrētā AAIĢIS pilnve</w:t>
      </w:r>
      <w:smartTag w:uri="urn:schemas-microsoft-com:office:smarttags" w:element="PersonName">
        <w:r w:rsidRPr="0057182C">
          <w:rPr>
            <w:rFonts w:asciiTheme="minorHAnsi" w:hAnsiTheme="minorHAnsi"/>
          </w:rPr>
          <w:t>id</w:t>
        </w:r>
      </w:smartTag>
      <w:r w:rsidRPr="0057182C">
        <w:rPr>
          <w:rFonts w:asciiTheme="minorHAnsi" w:hAnsiTheme="minorHAnsi"/>
        </w:rPr>
        <w:t>ošana;</w:t>
      </w:r>
    </w:p>
    <w:p w:rsidR="0057182C" w:rsidRP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AAI e-pakalpojuma ieviešana;</w:t>
      </w:r>
    </w:p>
    <w:p w:rsidR="0057182C" w:rsidRP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lauksaimnieku un sabiedrības informēšana par AAI nozīmi un tās datu izmantošanas iespējām;</w:t>
      </w:r>
    </w:p>
    <w:p w:rsidR="0057182C" w:rsidRP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Agroķīmijas laboratorijas iekārtu atjaunošana un sekmīga akreditācijas uzturēšana.</w:t>
      </w:r>
    </w:p>
    <w:p w:rsidR="0057182C" w:rsidRP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Nodrošināt kvalitatīvu un iespējami savlaicīgu AAI pakalpojuma izpildi klientu pieteiktajā apjomā.</w:t>
      </w:r>
    </w:p>
    <w:p w:rsidR="0057182C" w:rsidRDefault="0057182C" w:rsidP="0057182C">
      <w:pPr>
        <w:pStyle w:val="ListParagraph"/>
        <w:widowControl w:val="0"/>
        <w:numPr>
          <w:ilvl w:val="0"/>
          <w:numId w:val="23"/>
        </w:numPr>
        <w:spacing w:before="120"/>
        <w:jc w:val="both"/>
        <w:rPr>
          <w:rFonts w:asciiTheme="minorHAnsi" w:hAnsiTheme="minorHAnsi"/>
        </w:rPr>
      </w:pPr>
      <w:r w:rsidRPr="0057182C">
        <w:rPr>
          <w:rFonts w:asciiTheme="minorHAnsi" w:hAnsiTheme="minorHAnsi"/>
        </w:rPr>
        <w:t>Pilnve</w:t>
      </w:r>
      <w:smartTag w:uri="urn:schemas-microsoft-com:office:smarttags" w:element="PersonName">
        <w:r w:rsidRPr="0057182C">
          <w:rPr>
            <w:rFonts w:asciiTheme="minorHAnsi" w:hAnsiTheme="minorHAnsi"/>
          </w:rPr>
          <w:t>id</w:t>
        </w:r>
      </w:smartTag>
      <w:r w:rsidRPr="0057182C">
        <w:rPr>
          <w:rFonts w:asciiTheme="minorHAnsi" w:hAnsiTheme="minorHAnsi"/>
        </w:rPr>
        <w:t>ot AAI procesu, paralēli strādājot pie priekšlikumiem precizējumiem MK 05.10.2004 noteikumos Nr.833 “Kārtība, kādā iegūstama un apkopojama informācija par lauksaimniecībā izmantojamās zemes auglības līmeni un tā pārmaiņām” un Zemkopības ministrijas 15.03.2007 kārtībā Nr.12 „Metodiskie norādījumi augšņu agroķīmiskajai izpētei un izpētes rezultātu novērtēšanai”, kā arī citos normatīvajos aktos, kas tieši vai netieši attiecas uz AAI.</w:t>
      </w:r>
    </w:p>
    <w:p w:rsidR="00184282" w:rsidRPr="00184282" w:rsidRDefault="00184282" w:rsidP="00184282">
      <w:pPr>
        <w:pStyle w:val="ListParagraph"/>
        <w:widowControl w:val="0"/>
        <w:numPr>
          <w:ilvl w:val="0"/>
          <w:numId w:val="23"/>
        </w:numPr>
        <w:spacing w:before="120"/>
        <w:jc w:val="both"/>
        <w:rPr>
          <w:rFonts w:asciiTheme="minorHAnsi" w:hAnsiTheme="minorHAnsi"/>
        </w:rPr>
      </w:pPr>
      <w:r w:rsidRPr="00184282">
        <w:rPr>
          <w:rFonts w:asciiTheme="minorHAnsi" w:hAnsiTheme="minorHAnsi"/>
        </w:rPr>
        <w:t xml:space="preserve">nodrošināt sekmīgu inspektoru apmācību un kvalifikāciju ieguvi, ņemot vērā, ka </w:t>
      </w:r>
      <w:r w:rsidR="004B6E67">
        <w:rPr>
          <w:rFonts w:asciiTheme="minorHAnsi" w:hAnsiTheme="minorHAnsi"/>
        </w:rPr>
        <w:t>VAAD</w:t>
      </w:r>
      <w:r w:rsidR="004B6E67" w:rsidRPr="00A46ACE">
        <w:rPr>
          <w:rFonts w:asciiTheme="minorHAnsi" w:hAnsiTheme="minorHAnsi"/>
        </w:rPr>
        <w:t xml:space="preserve"> </w:t>
      </w:r>
      <w:r w:rsidRPr="00184282">
        <w:rPr>
          <w:rFonts w:asciiTheme="minorHAnsi" w:hAnsiTheme="minorHAnsi"/>
        </w:rPr>
        <w:t xml:space="preserve">plānota reģionālo nodaļu inspektoru darba pārstrukturizācija. </w:t>
      </w:r>
    </w:p>
    <w:p w:rsidR="0057182C" w:rsidRPr="0057182C" w:rsidRDefault="0057182C" w:rsidP="00184282">
      <w:pPr>
        <w:pStyle w:val="ListParagraph"/>
        <w:widowControl w:val="0"/>
        <w:numPr>
          <w:ilvl w:val="0"/>
          <w:numId w:val="23"/>
        </w:numPr>
        <w:spacing w:before="120"/>
        <w:jc w:val="both"/>
        <w:rPr>
          <w:rFonts w:asciiTheme="minorHAnsi" w:hAnsiTheme="minorHAnsi"/>
        </w:rPr>
      </w:pPr>
      <w:r w:rsidRPr="0057182C">
        <w:rPr>
          <w:rFonts w:asciiTheme="minorHAnsi" w:hAnsiTheme="minorHAnsi"/>
        </w:rPr>
        <w:t xml:space="preserve">Nodrošināt informācijas ieguvi par neapstrādātās LIZ agroķīmisko īpašību rādītājiem un iegūtās informācijas analīzi. </w:t>
      </w:r>
    </w:p>
    <w:p w:rsidR="00184282" w:rsidRPr="00184282" w:rsidRDefault="00184282" w:rsidP="00184282">
      <w:pPr>
        <w:widowControl w:val="0"/>
        <w:spacing w:before="120"/>
        <w:jc w:val="both"/>
        <w:rPr>
          <w:rFonts w:asciiTheme="minorHAnsi" w:hAnsiTheme="minorHAnsi"/>
        </w:rPr>
      </w:pPr>
      <w:r w:rsidRPr="00184282">
        <w:rPr>
          <w:rFonts w:asciiTheme="minorHAnsi" w:hAnsiTheme="minorHAnsi"/>
        </w:rPr>
        <w:t xml:space="preserve">2013.gadā VAAD turpinās ML lietošanas un uzskaites uzraudzību, darbu pie e-pakalpojuma ieviešanas, kā arī turpinās veikt monitoringu un pilnveidot augsnes minerālā slāpekļa un ĪJT saimniecību datubāzi. </w:t>
      </w:r>
    </w:p>
    <w:p w:rsidR="00184282" w:rsidRPr="00184282" w:rsidRDefault="00184282" w:rsidP="00184282">
      <w:pPr>
        <w:widowControl w:val="0"/>
        <w:spacing w:before="120"/>
        <w:jc w:val="both"/>
        <w:rPr>
          <w:rFonts w:asciiTheme="minorHAnsi" w:hAnsiTheme="minorHAnsi"/>
        </w:rPr>
      </w:pPr>
      <w:r w:rsidRPr="00184282">
        <w:rPr>
          <w:rFonts w:asciiTheme="minorHAnsi" w:hAnsiTheme="minorHAnsi"/>
        </w:rPr>
        <w:t xml:space="preserve">Paredzēts, ka </w:t>
      </w:r>
      <w:r>
        <w:rPr>
          <w:rFonts w:asciiTheme="minorHAnsi" w:hAnsiTheme="minorHAnsi"/>
        </w:rPr>
        <w:t>2013.</w:t>
      </w:r>
      <w:r w:rsidRPr="00184282">
        <w:rPr>
          <w:rFonts w:asciiTheme="minorHAnsi" w:hAnsiTheme="minorHAnsi"/>
        </w:rPr>
        <w:t xml:space="preserve">gadā stāsies spēkā grozījumi Noteikumos, kas noteiks izmaiņas attiecībā uz AAI un citiem jautājumiem. Līdz ar to, 2013.gadā pēc grozījumu pieņemšanas tiks veiktas izmaiņas </w:t>
      </w:r>
      <w:r w:rsidR="004B6E67">
        <w:rPr>
          <w:rFonts w:asciiTheme="minorHAnsi" w:hAnsiTheme="minorHAnsi"/>
        </w:rPr>
        <w:t>VAAD</w:t>
      </w:r>
      <w:r w:rsidRPr="00184282">
        <w:rPr>
          <w:rFonts w:asciiTheme="minorHAnsi" w:hAnsiTheme="minorHAnsi"/>
        </w:rPr>
        <w:t xml:space="preserve"> instrukcijās un pārbaudes aktos, kā arī apmācīti inspektori. Ņemot vērā Eiropas Komisijas auditu iebildumus, tiks veiktas izmaiņas vadlīnijās SA pārbaudēs konstatēto pārkāpumu izvērtēšanai.</w:t>
      </w:r>
    </w:p>
    <w:p w:rsidR="00382CD7" w:rsidRPr="00A46ACE" w:rsidRDefault="00382CD7" w:rsidP="00A46ACE">
      <w:pPr>
        <w:widowControl w:val="0"/>
        <w:spacing w:before="120"/>
        <w:jc w:val="both"/>
        <w:rPr>
          <w:rFonts w:asciiTheme="minorHAnsi" w:hAnsiTheme="minorHAnsi"/>
        </w:rPr>
      </w:pPr>
    </w:p>
    <w:sectPr w:rsidR="00382CD7" w:rsidRPr="00A46ACE" w:rsidSect="00561367">
      <w:headerReference w:type="default" r:id="rId59"/>
      <w:footerReference w:type="even" r:id="rId60"/>
      <w:footerReference w:type="default" r:id="rId61"/>
      <w:pgSz w:w="11906" w:h="16838"/>
      <w:pgMar w:top="1440" w:right="991" w:bottom="709"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84B" w:rsidRDefault="00FC084B">
      <w:r>
        <w:separator/>
      </w:r>
    </w:p>
  </w:endnote>
  <w:endnote w:type="continuationSeparator" w:id="0">
    <w:p w:rsidR="00FC084B" w:rsidRDefault="00FC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Bookman Old Style">
    <w:panose1 w:val="02050604050505020204"/>
    <w:charset w:val="BA"/>
    <w:family w:val="roman"/>
    <w:pitch w:val="variable"/>
    <w:sig w:usb0="00000287" w:usb1="00000000" w:usb2="00000000" w:usb3="00000000" w:csb0="0000009F" w:csb1="00000000"/>
  </w:font>
  <w:font w:name="CentSchbook TL">
    <w:panose1 w:val="02040503050705020303"/>
    <w:charset w:val="BA"/>
    <w:family w:val="roman"/>
    <w:pitch w:val="variable"/>
    <w:sig w:usb0="800002AF" w:usb1="5000204A" w:usb2="00000000" w:usb3="00000000" w:csb0="000000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4B" w:rsidRDefault="00FC084B" w:rsidP="00531D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084B" w:rsidRDefault="00FC084B" w:rsidP="00531D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4B" w:rsidRPr="000F142F" w:rsidRDefault="00FC084B" w:rsidP="000F142F">
    <w:pPr>
      <w:pStyle w:val="Footer"/>
      <w:framePr w:wrap="around" w:vAnchor="text" w:hAnchor="margin" w:xAlign="right" w:y="1"/>
      <w:jc w:val="center"/>
      <w:rPr>
        <w:rStyle w:val="PageNumber"/>
        <w:sz w:val="20"/>
      </w:rPr>
    </w:pPr>
    <w:r w:rsidRPr="000F142F">
      <w:rPr>
        <w:rStyle w:val="PageNumber"/>
        <w:sz w:val="20"/>
      </w:rPr>
      <w:fldChar w:fldCharType="begin"/>
    </w:r>
    <w:r w:rsidRPr="000F142F">
      <w:rPr>
        <w:rStyle w:val="PageNumber"/>
        <w:sz w:val="20"/>
      </w:rPr>
      <w:instrText xml:space="preserve">PAGE  </w:instrText>
    </w:r>
    <w:r w:rsidRPr="000F142F">
      <w:rPr>
        <w:rStyle w:val="PageNumber"/>
        <w:sz w:val="20"/>
      </w:rPr>
      <w:fldChar w:fldCharType="separate"/>
    </w:r>
    <w:r w:rsidR="006732F0">
      <w:rPr>
        <w:rStyle w:val="PageNumber"/>
        <w:sz w:val="20"/>
      </w:rPr>
      <w:t>105</w:t>
    </w:r>
    <w:r w:rsidRPr="000F142F">
      <w:rPr>
        <w:rStyle w:val="PageNumber"/>
        <w:sz w:val="20"/>
      </w:rPr>
      <w:fldChar w:fldCharType="end"/>
    </w:r>
  </w:p>
  <w:p w:rsidR="00FC084B" w:rsidRDefault="00FC084B" w:rsidP="00531DF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84B" w:rsidRDefault="00FC084B">
      <w:r>
        <w:separator/>
      </w:r>
    </w:p>
  </w:footnote>
  <w:footnote w:type="continuationSeparator" w:id="0">
    <w:p w:rsidR="00FC084B" w:rsidRDefault="00FC0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49" w:type="dxa"/>
      <w:tblInd w:w="-1735" w:type="dxa"/>
      <w:tbl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insideH w:val="dotted" w:sz="4" w:space="0" w:color="4F6228" w:themeColor="accent3" w:themeShade="80"/>
        <w:insideV w:val="dotted" w:sz="4" w:space="0" w:color="4F6228" w:themeColor="accent3" w:themeShade="80"/>
      </w:tblBorders>
      <w:shd w:val="clear" w:color="auto" w:fill="C4BC96" w:themeFill="background2" w:themeFillShade="BF"/>
      <w:tblLook w:val="04A0" w:firstRow="1" w:lastRow="0" w:firstColumn="1" w:lastColumn="0" w:noHBand="0" w:noVBand="1"/>
    </w:tblPr>
    <w:tblGrid>
      <w:gridCol w:w="12049"/>
    </w:tblGrid>
    <w:tr w:rsidR="00FC084B" w:rsidRPr="004E6BD8" w:rsidTr="00172F6C">
      <w:tc>
        <w:tcPr>
          <w:tcW w:w="12049" w:type="dxa"/>
          <w:shd w:val="clear" w:color="auto" w:fill="C4BC96" w:themeFill="background2" w:themeFillShade="BF"/>
        </w:tcPr>
        <w:p w:rsidR="00FC084B" w:rsidRPr="00077425" w:rsidRDefault="00FC084B" w:rsidP="004E6BD8">
          <w:pPr>
            <w:pStyle w:val="Header"/>
            <w:jc w:val="center"/>
            <w:rPr>
              <w:rFonts w:asciiTheme="minorHAnsi" w:hAnsiTheme="minorHAnsi"/>
              <w:color w:val="FFFFFF" w:themeColor="background1"/>
            </w:rPr>
          </w:pPr>
          <w:r>
            <w:rPr>
              <w:rFonts w:asciiTheme="minorHAnsi" w:hAnsiTheme="minorHAnsi"/>
              <w:noProof/>
            </w:rPr>
            <w:drawing>
              <wp:anchor distT="0" distB="0" distL="114300" distR="114300" simplePos="0" relativeHeight="251659264" behindDoc="0" locked="0" layoutInCell="1" allowOverlap="1" wp14:anchorId="6FFAF440" wp14:editId="097930E4">
                <wp:simplePos x="0" y="0"/>
                <wp:positionH relativeFrom="column">
                  <wp:posOffset>470172</wp:posOffset>
                </wp:positionH>
                <wp:positionV relativeFrom="paragraph">
                  <wp:posOffset>-222885</wp:posOffset>
                </wp:positionV>
                <wp:extent cx="508732" cy="600075"/>
                <wp:effectExtent l="0" t="0" r="5715" b="0"/>
                <wp:wrapNone/>
                <wp:docPr id="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08732" cy="600075"/>
                        </a:xfrm>
                        <a:prstGeom prst="rect">
                          <a:avLst/>
                        </a:prstGeom>
                        <a:noFill/>
                        <a:ln>
                          <a:noFill/>
                        </a:ln>
                      </pic:spPr>
                    </pic:pic>
                  </a:graphicData>
                </a:graphic>
              </wp:anchor>
            </w:drawing>
          </w:r>
          <w:r w:rsidRPr="00077425">
            <w:rPr>
              <w:rFonts w:asciiTheme="minorHAnsi" w:hAnsiTheme="minorHAnsi"/>
              <w:color w:val="FFFFFF" w:themeColor="background1"/>
            </w:rPr>
            <w:t>Valsts augu aizsardzības dienests. 2012.gada publiskais pārskats</w:t>
          </w:r>
          <w:r>
            <w:rPr>
              <w:rFonts w:asciiTheme="minorHAnsi" w:hAnsiTheme="minorHAnsi"/>
              <w:color w:val="FFFFFF" w:themeColor="background1"/>
            </w:rPr>
            <w:t>.</w:t>
          </w:r>
        </w:p>
      </w:tc>
    </w:tr>
  </w:tbl>
  <w:p w:rsidR="00FC084B" w:rsidRDefault="00FC08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Times New Roman" w:hAnsi="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3"/>
      <w:numFmt w:val="decimal"/>
      <w:suff w:val="space"/>
      <w:lvlText w:val="%4)"/>
      <w:lvlJc w:val="left"/>
      <w:pPr>
        <w:tabs>
          <w:tab w:val="num" w:pos="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suff w:val="space"/>
      <w:lvlText w:val="%4)"/>
      <w:lvlJc w:val="left"/>
      <w:pPr>
        <w:tabs>
          <w:tab w:val="num" w:pos="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7D225B9"/>
    <w:multiLevelType w:val="hybridMultilevel"/>
    <w:tmpl w:val="DC56833C"/>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B1028D6"/>
    <w:multiLevelType w:val="hybridMultilevel"/>
    <w:tmpl w:val="AE4AC4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1675261"/>
    <w:multiLevelType w:val="hybridMultilevel"/>
    <w:tmpl w:val="52A03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7B35A0C"/>
    <w:multiLevelType w:val="hybridMultilevel"/>
    <w:tmpl w:val="949C8F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952152C"/>
    <w:multiLevelType w:val="hybridMultilevel"/>
    <w:tmpl w:val="39446D3A"/>
    <w:lvl w:ilvl="0" w:tplc="3BCA3AFC">
      <w:numFmt w:val="bullet"/>
      <w:lvlText w:val="-"/>
      <w:lvlJc w:val="left"/>
      <w:pPr>
        <w:ind w:left="945" w:hanging="360"/>
      </w:pPr>
      <w:rPr>
        <w:rFonts w:ascii="Times New Roman" w:eastAsia="Times New Roman" w:hAnsi="Times New Roman" w:hint="default"/>
        <w:i/>
      </w:rPr>
    </w:lvl>
    <w:lvl w:ilvl="1" w:tplc="A8AC5B2A">
      <w:start w:val="3"/>
      <w:numFmt w:val="bullet"/>
      <w:lvlText w:val=""/>
      <w:lvlJc w:val="left"/>
      <w:pPr>
        <w:ind w:left="1665" w:hanging="360"/>
      </w:pPr>
      <w:rPr>
        <w:rFonts w:ascii="Symbol" w:eastAsia="Times New Roman" w:hAnsi="Symbol" w:cs="Times New Roman" w:hint="default"/>
      </w:rPr>
    </w:lvl>
    <w:lvl w:ilvl="2" w:tplc="04260005" w:tentative="1">
      <w:start w:val="1"/>
      <w:numFmt w:val="bullet"/>
      <w:lvlText w:val=""/>
      <w:lvlJc w:val="left"/>
      <w:pPr>
        <w:ind w:left="2385" w:hanging="360"/>
      </w:pPr>
      <w:rPr>
        <w:rFonts w:ascii="Wingdings" w:hAnsi="Wingdings" w:hint="default"/>
      </w:rPr>
    </w:lvl>
    <w:lvl w:ilvl="3" w:tplc="04260001" w:tentative="1">
      <w:start w:val="1"/>
      <w:numFmt w:val="bullet"/>
      <w:lvlText w:val=""/>
      <w:lvlJc w:val="left"/>
      <w:pPr>
        <w:ind w:left="3105" w:hanging="360"/>
      </w:pPr>
      <w:rPr>
        <w:rFonts w:ascii="Symbol" w:hAnsi="Symbol" w:hint="default"/>
      </w:rPr>
    </w:lvl>
    <w:lvl w:ilvl="4" w:tplc="04260003" w:tentative="1">
      <w:start w:val="1"/>
      <w:numFmt w:val="bullet"/>
      <w:lvlText w:val="o"/>
      <w:lvlJc w:val="left"/>
      <w:pPr>
        <w:ind w:left="3825" w:hanging="360"/>
      </w:pPr>
      <w:rPr>
        <w:rFonts w:ascii="Courier New" w:hAnsi="Courier New" w:cs="Courier New" w:hint="default"/>
      </w:rPr>
    </w:lvl>
    <w:lvl w:ilvl="5" w:tplc="04260005" w:tentative="1">
      <w:start w:val="1"/>
      <w:numFmt w:val="bullet"/>
      <w:lvlText w:val=""/>
      <w:lvlJc w:val="left"/>
      <w:pPr>
        <w:ind w:left="4545" w:hanging="360"/>
      </w:pPr>
      <w:rPr>
        <w:rFonts w:ascii="Wingdings" w:hAnsi="Wingdings" w:hint="default"/>
      </w:rPr>
    </w:lvl>
    <w:lvl w:ilvl="6" w:tplc="04260001" w:tentative="1">
      <w:start w:val="1"/>
      <w:numFmt w:val="bullet"/>
      <w:lvlText w:val=""/>
      <w:lvlJc w:val="left"/>
      <w:pPr>
        <w:ind w:left="5265" w:hanging="360"/>
      </w:pPr>
      <w:rPr>
        <w:rFonts w:ascii="Symbol" w:hAnsi="Symbol" w:hint="default"/>
      </w:rPr>
    </w:lvl>
    <w:lvl w:ilvl="7" w:tplc="04260003" w:tentative="1">
      <w:start w:val="1"/>
      <w:numFmt w:val="bullet"/>
      <w:lvlText w:val="o"/>
      <w:lvlJc w:val="left"/>
      <w:pPr>
        <w:ind w:left="5985" w:hanging="360"/>
      </w:pPr>
      <w:rPr>
        <w:rFonts w:ascii="Courier New" w:hAnsi="Courier New" w:cs="Courier New" w:hint="default"/>
      </w:rPr>
    </w:lvl>
    <w:lvl w:ilvl="8" w:tplc="04260005" w:tentative="1">
      <w:start w:val="1"/>
      <w:numFmt w:val="bullet"/>
      <w:lvlText w:val=""/>
      <w:lvlJc w:val="left"/>
      <w:pPr>
        <w:ind w:left="6705" w:hanging="360"/>
      </w:pPr>
      <w:rPr>
        <w:rFonts w:ascii="Wingdings" w:hAnsi="Wingdings" w:hint="default"/>
      </w:rPr>
    </w:lvl>
  </w:abstractNum>
  <w:abstractNum w:abstractNumId="11">
    <w:nsid w:val="1DD05C0D"/>
    <w:multiLevelType w:val="hybridMultilevel"/>
    <w:tmpl w:val="4328B236"/>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1F111633"/>
    <w:multiLevelType w:val="hybridMultilevel"/>
    <w:tmpl w:val="ADBC8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1B25458"/>
    <w:multiLevelType w:val="hybridMultilevel"/>
    <w:tmpl w:val="04D6DFC0"/>
    <w:lvl w:ilvl="0" w:tplc="04260001">
      <w:start w:val="1"/>
      <w:numFmt w:val="bullet"/>
      <w:lvlText w:val=""/>
      <w:lvlJc w:val="left"/>
      <w:pPr>
        <w:ind w:left="720" w:hanging="360"/>
      </w:pPr>
      <w:rPr>
        <w:rFonts w:ascii="Symbol" w:hAnsi="Symbol" w:hint="default"/>
      </w:rPr>
    </w:lvl>
    <w:lvl w:ilvl="1" w:tplc="51C21A1A">
      <w:numFmt w:val="bullet"/>
      <w:lvlText w:val="-"/>
      <w:lvlJc w:val="left"/>
      <w:pPr>
        <w:ind w:left="1440" w:hanging="360"/>
      </w:pPr>
      <w:rPr>
        <w:rFonts w:ascii="Times New Roman" w:eastAsia="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4017784"/>
    <w:multiLevelType w:val="multilevel"/>
    <w:tmpl w:val="08CCDDF6"/>
    <w:styleLink w:val="Style1"/>
    <w:lvl w:ilvl="0">
      <w:start w:val="1"/>
      <w:numFmt w:val="decimal"/>
      <w:lvlText w:val="%1."/>
      <w:lvlJc w:val="left"/>
      <w:pPr>
        <w:tabs>
          <w:tab w:val="num" w:pos="360"/>
        </w:tabs>
        <w:ind w:left="360" w:hanging="360"/>
      </w:pPr>
      <w:rPr>
        <w:rFonts w:cs="Times New Roman" w:hint="default"/>
        <w:i/>
      </w:rPr>
    </w:lvl>
    <w:lvl w:ilvl="1">
      <w:start w:val="1"/>
      <w:numFmt w:val="decimal"/>
      <w:lvlText w:val="%1.%2."/>
      <w:lvlJc w:val="left"/>
      <w:pPr>
        <w:tabs>
          <w:tab w:val="num" w:pos="1080"/>
        </w:tabs>
        <w:ind w:left="792" w:hanging="432"/>
      </w:pPr>
      <w:rPr>
        <w:rFonts w:cs="Times New Roman"/>
        <w:b/>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5">
    <w:nsid w:val="27B34658"/>
    <w:multiLevelType w:val="hybridMultilevel"/>
    <w:tmpl w:val="6E645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6118EB"/>
    <w:multiLevelType w:val="hybridMultilevel"/>
    <w:tmpl w:val="3050F9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B424552"/>
    <w:multiLevelType w:val="hybridMultilevel"/>
    <w:tmpl w:val="4D44A35C"/>
    <w:lvl w:ilvl="0" w:tplc="C2BC55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6D54D1E"/>
    <w:multiLevelType w:val="hybridMultilevel"/>
    <w:tmpl w:val="8370B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C7222CD"/>
    <w:multiLevelType w:val="hybridMultilevel"/>
    <w:tmpl w:val="B7F01374"/>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0">
    <w:nsid w:val="40FC3F5A"/>
    <w:multiLevelType w:val="multilevel"/>
    <w:tmpl w:val="FD38DB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2C24D7C"/>
    <w:multiLevelType w:val="hybridMultilevel"/>
    <w:tmpl w:val="9C96C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A7A6C61"/>
    <w:multiLevelType w:val="hybridMultilevel"/>
    <w:tmpl w:val="2098F2FC"/>
    <w:lvl w:ilvl="0" w:tplc="AFA86CB0">
      <w:start w:val="3"/>
      <w:numFmt w:val="bullet"/>
      <w:lvlText w:val=""/>
      <w:lvlJc w:val="left"/>
      <w:pPr>
        <w:ind w:left="585" w:hanging="360"/>
      </w:pPr>
      <w:rPr>
        <w:rFonts w:ascii="Symbol" w:eastAsia="Times New Roman" w:hAnsi="Symbol" w:cs="Times New Roman" w:hint="default"/>
      </w:rPr>
    </w:lvl>
    <w:lvl w:ilvl="1" w:tplc="04260003" w:tentative="1">
      <w:start w:val="1"/>
      <w:numFmt w:val="bullet"/>
      <w:lvlText w:val="o"/>
      <w:lvlJc w:val="left"/>
      <w:pPr>
        <w:ind w:left="1305" w:hanging="360"/>
      </w:pPr>
      <w:rPr>
        <w:rFonts w:ascii="Courier New" w:hAnsi="Courier New" w:cs="Courier New" w:hint="default"/>
      </w:rPr>
    </w:lvl>
    <w:lvl w:ilvl="2" w:tplc="04260005" w:tentative="1">
      <w:start w:val="1"/>
      <w:numFmt w:val="bullet"/>
      <w:lvlText w:val=""/>
      <w:lvlJc w:val="left"/>
      <w:pPr>
        <w:ind w:left="2025" w:hanging="360"/>
      </w:pPr>
      <w:rPr>
        <w:rFonts w:ascii="Wingdings" w:hAnsi="Wingdings" w:hint="default"/>
      </w:rPr>
    </w:lvl>
    <w:lvl w:ilvl="3" w:tplc="04260001" w:tentative="1">
      <w:start w:val="1"/>
      <w:numFmt w:val="bullet"/>
      <w:lvlText w:val=""/>
      <w:lvlJc w:val="left"/>
      <w:pPr>
        <w:ind w:left="2745" w:hanging="360"/>
      </w:pPr>
      <w:rPr>
        <w:rFonts w:ascii="Symbol" w:hAnsi="Symbol" w:hint="default"/>
      </w:rPr>
    </w:lvl>
    <w:lvl w:ilvl="4" w:tplc="04260003" w:tentative="1">
      <w:start w:val="1"/>
      <w:numFmt w:val="bullet"/>
      <w:lvlText w:val="o"/>
      <w:lvlJc w:val="left"/>
      <w:pPr>
        <w:ind w:left="3465" w:hanging="360"/>
      </w:pPr>
      <w:rPr>
        <w:rFonts w:ascii="Courier New" w:hAnsi="Courier New" w:cs="Courier New" w:hint="default"/>
      </w:rPr>
    </w:lvl>
    <w:lvl w:ilvl="5" w:tplc="04260005" w:tentative="1">
      <w:start w:val="1"/>
      <w:numFmt w:val="bullet"/>
      <w:lvlText w:val=""/>
      <w:lvlJc w:val="left"/>
      <w:pPr>
        <w:ind w:left="4185" w:hanging="360"/>
      </w:pPr>
      <w:rPr>
        <w:rFonts w:ascii="Wingdings" w:hAnsi="Wingdings" w:hint="default"/>
      </w:rPr>
    </w:lvl>
    <w:lvl w:ilvl="6" w:tplc="04260001" w:tentative="1">
      <w:start w:val="1"/>
      <w:numFmt w:val="bullet"/>
      <w:lvlText w:val=""/>
      <w:lvlJc w:val="left"/>
      <w:pPr>
        <w:ind w:left="4905" w:hanging="360"/>
      </w:pPr>
      <w:rPr>
        <w:rFonts w:ascii="Symbol" w:hAnsi="Symbol" w:hint="default"/>
      </w:rPr>
    </w:lvl>
    <w:lvl w:ilvl="7" w:tplc="04260003" w:tentative="1">
      <w:start w:val="1"/>
      <w:numFmt w:val="bullet"/>
      <w:lvlText w:val="o"/>
      <w:lvlJc w:val="left"/>
      <w:pPr>
        <w:ind w:left="5625" w:hanging="360"/>
      </w:pPr>
      <w:rPr>
        <w:rFonts w:ascii="Courier New" w:hAnsi="Courier New" w:cs="Courier New" w:hint="default"/>
      </w:rPr>
    </w:lvl>
    <w:lvl w:ilvl="8" w:tplc="04260005" w:tentative="1">
      <w:start w:val="1"/>
      <w:numFmt w:val="bullet"/>
      <w:lvlText w:val=""/>
      <w:lvlJc w:val="left"/>
      <w:pPr>
        <w:ind w:left="6345" w:hanging="360"/>
      </w:pPr>
      <w:rPr>
        <w:rFonts w:ascii="Wingdings" w:hAnsi="Wingdings" w:hint="default"/>
      </w:rPr>
    </w:lvl>
  </w:abstractNum>
  <w:abstractNum w:abstractNumId="23">
    <w:nsid w:val="4EF54762"/>
    <w:multiLevelType w:val="hybridMultilevel"/>
    <w:tmpl w:val="8F1805C2"/>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10A405B"/>
    <w:multiLevelType w:val="hybridMultilevel"/>
    <w:tmpl w:val="475ABE1E"/>
    <w:lvl w:ilvl="0" w:tplc="04260001">
      <w:start w:val="1"/>
      <w:numFmt w:val="bullet"/>
      <w:lvlText w:val=""/>
      <w:lvlJc w:val="left"/>
      <w:pPr>
        <w:tabs>
          <w:tab w:val="num" w:pos="1200"/>
        </w:tabs>
        <w:ind w:left="1200" w:hanging="360"/>
      </w:pPr>
      <w:rPr>
        <w:rFonts w:ascii="Symbol" w:hAnsi="Symbol" w:hint="default"/>
      </w:rPr>
    </w:lvl>
    <w:lvl w:ilvl="1" w:tplc="04260003" w:tentative="1">
      <w:start w:val="1"/>
      <w:numFmt w:val="bullet"/>
      <w:lvlText w:val="o"/>
      <w:lvlJc w:val="left"/>
      <w:pPr>
        <w:tabs>
          <w:tab w:val="num" w:pos="2040"/>
        </w:tabs>
        <w:ind w:left="2040" w:hanging="360"/>
      </w:pPr>
      <w:rPr>
        <w:rFonts w:ascii="Courier New" w:hAnsi="Courier New" w:cs="Courier New" w:hint="default"/>
      </w:rPr>
    </w:lvl>
    <w:lvl w:ilvl="2" w:tplc="04260005" w:tentative="1">
      <w:start w:val="1"/>
      <w:numFmt w:val="bullet"/>
      <w:lvlText w:val=""/>
      <w:lvlJc w:val="left"/>
      <w:pPr>
        <w:tabs>
          <w:tab w:val="num" w:pos="2760"/>
        </w:tabs>
        <w:ind w:left="2760" w:hanging="360"/>
      </w:pPr>
      <w:rPr>
        <w:rFonts w:ascii="Wingdings" w:hAnsi="Wingdings" w:hint="default"/>
      </w:rPr>
    </w:lvl>
    <w:lvl w:ilvl="3" w:tplc="04260001" w:tentative="1">
      <w:start w:val="1"/>
      <w:numFmt w:val="bullet"/>
      <w:lvlText w:val=""/>
      <w:lvlJc w:val="left"/>
      <w:pPr>
        <w:tabs>
          <w:tab w:val="num" w:pos="3480"/>
        </w:tabs>
        <w:ind w:left="3480" w:hanging="360"/>
      </w:pPr>
      <w:rPr>
        <w:rFonts w:ascii="Symbol" w:hAnsi="Symbol" w:hint="default"/>
      </w:rPr>
    </w:lvl>
    <w:lvl w:ilvl="4" w:tplc="04260003" w:tentative="1">
      <w:start w:val="1"/>
      <w:numFmt w:val="bullet"/>
      <w:lvlText w:val="o"/>
      <w:lvlJc w:val="left"/>
      <w:pPr>
        <w:tabs>
          <w:tab w:val="num" w:pos="4200"/>
        </w:tabs>
        <w:ind w:left="4200" w:hanging="360"/>
      </w:pPr>
      <w:rPr>
        <w:rFonts w:ascii="Courier New" w:hAnsi="Courier New" w:cs="Courier New" w:hint="default"/>
      </w:rPr>
    </w:lvl>
    <w:lvl w:ilvl="5" w:tplc="04260005" w:tentative="1">
      <w:start w:val="1"/>
      <w:numFmt w:val="bullet"/>
      <w:lvlText w:val=""/>
      <w:lvlJc w:val="left"/>
      <w:pPr>
        <w:tabs>
          <w:tab w:val="num" w:pos="4920"/>
        </w:tabs>
        <w:ind w:left="4920" w:hanging="360"/>
      </w:pPr>
      <w:rPr>
        <w:rFonts w:ascii="Wingdings" w:hAnsi="Wingdings" w:hint="default"/>
      </w:rPr>
    </w:lvl>
    <w:lvl w:ilvl="6" w:tplc="04260001" w:tentative="1">
      <w:start w:val="1"/>
      <w:numFmt w:val="bullet"/>
      <w:lvlText w:val=""/>
      <w:lvlJc w:val="left"/>
      <w:pPr>
        <w:tabs>
          <w:tab w:val="num" w:pos="5640"/>
        </w:tabs>
        <w:ind w:left="5640" w:hanging="360"/>
      </w:pPr>
      <w:rPr>
        <w:rFonts w:ascii="Symbol" w:hAnsi="Symbol" w:hint="default"/>
      </w:rPr>
    </w:lvl>
    <w:lvl w:ilvl="7" w:tplc="04260003" w:tentative="1">
      <w:start w:val="1"/>
      <w:numFmt w:val="bullet"/>
      <w:lvlText w:val="o"/>
      <w:lvlJc w:val="left"/>
      <w:pPr>
        <w:tabs>
          <w:tab w:val="num" w:pos="6360"/>
        </w:tabs>
        <w:ind w:left="6360" w:hanging="360"/>
      </w:pPr>
      <w:rPr>
        <w:rFonts w:ascii="Courier New" w:hAnsi="Courier New" w:cs="Courier New" w:hint="default"/>
      </w:rPr>
    </w:lvl>
    <w:lvl w:ilvl="8" w:tplc="04260005" w:tentative="1">
      <w:start w:val="1"/>
      <w:numFmt w:val="bullet"/>
      <w:lvlText w:val=""/>
      <w:lvlJc w:val="left"/>
      <w:pPr>
        <w:tabs>
          <w:tab w:val="num" w:pos="7080"/>
        </w:tabs>
        <w:ind w:left="7080" w:hanging="360"/>
      </w:pPr>
      <w:rPr>
        <w:rFonts w:ascii="Wingdings" w:hAnsi="Wingdings" w:hint="default"/>
      </w:rPr>
    </w:lvl>
  </w:abstractNum>
  <w:abstractNum w:abstractNumId="25">
    <w:nsid w:val="52803DA0"/>
    <w:multiLevelType w:val="hybridMultilevel"/>
    <w:tmpl w:val="9CAC0F62"/>
    <w:lvl w:ilvl="0" w:tplc="9A4026B6">
      <w:numFmt w:val="bullet"/>
      <w:lvlText w:val="-"/>
      <w:lvlJc w:val="left"/>
      <w:pPr>
        <w:ind w:left="720" w:hanging="36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4661E22"/>
    <w:multiLevelType w:val="hybridMultilevel"/>
    <w:tmpl w:val="1CF420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56E1519"/>
    <w:multiLevelType w:val="hybridMultilevel"/>
    <w:tmpl w:val="370AC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7C60D0D"/>
    <w:multiLevelType w:val="hybridMultilevel"/>
    <w:tmpl w:val="B7FCE48E"/>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DED15F7"/>
    <w:multiLevelType w:val="hybridMultilevel"/>
    <w:tmpl w:val="D5049928"/>
    <w:lvl w:ilvl="0" w:tplc="892246AE">
      <w:start w:val="1"/>
      <w:numFmt w:val="bullet"/>
      <w:lvlText w:val=""/>
      <w:lvlJc w:val="left"/>
      <w:pPr>
        <w:tabs>
          <w:tab w:val="num" w:pos="720"/>
        </w:tabs>
        <w:ind w:left="720" w:hanging="360"/>
      </w:pPr>
      <w:rPr>
        <w:rFonts w:ascii="Wingdings" w:hAnsi="Wingdings" w:hint="default"/>
        <w:color w:val="000000"/>
        <w:u w:val="none"/>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61967465"/>
    <w:multiLevelType w:val="hybridMultilevel"/>
    <w:tmpl w:val="FE1883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31C00D0"/>
    <w:multiLevelType w:val="hybridMultilevel"/>
    <w:tmpl w:val="907EA1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48104AB"/>
    <w:multiLevelType w:val="multilevel"/>
    <w:tmpl w:val="66B4646A"/>
    <w:lvl w:ilvl="0">
      <w:start w:val="1"/>
      <w:numFmt w:val="decimal"/>
      <w:lvlText w:val="%1."/>
      <w:lvlJc w:val="left"/>
      <w:pPr>
        <w:ind w:left="1080" w:hanging="720"/>
      </w:pPr>
      <w:rPr>
        <w:rFonts w:hint="default"/>
      </w:rPr>
    </w:lvl>
    <w:lvl w:ilvl="1">
      <w:start w:val="12"/>
      <w:numFmt w:val="decimal"/>
      <w:isLgl/>
      <w:lvlText w:val="%1.%2."/>
      <w:lvlJc w:val="left"/>
      <w:pPr>
        <w:ind w:left="1845" w:hanging="1125"/>
      </w:pPr>
      <w:rPr>
        <w:rFonts w:hint="default"/>
      </w:rPr>
    </w:lvl>
    <w:lvl w:ilvl="2">
      <w:start w:val="2012"/>
      <w:numFmt w:val="decimal"/>
      <w:isLgl/>
      <w:lvlText w:val="%1.%2.%3."/>
      <w:lvlJc w:val="left"/>
      <w:pPr>
        <w:ind w:left="2205" w:hanging="1125"/>
      </w:pPr>
      <w:rPr>
        <w:rFonts w:hint="default"/>
      </w:rPr>
    </w:lvl>
    <w:lvl w:ilvl="3">
      <w:start w:val="1"/>
      <w:numFmt w:val="decimal"/>
      <w:isLgl/>
      <w:lvlText w:val="%1.%2.%3.%4."/>
      <w:lvlJc w:val="left"/>
      <w:pPr>
        <w:ind w:left="2565" w:hanging="1125"/>
      </w:pPr>
      <w:rPr>
        <w:rFonts w:hint="default"/>
      </w:rPr>
    </w:lvl>
    <w:lvl w:ilvl="4">
      <w:start w:val="1"/>
      <w:numFmt w:val="decimal"/>
      <w:isLgl/>
      <w:lvlText w:val="%1.%2.%3.%4.%5."/>
      <w:lvlJc w:val="left"/>
      <w:pPr>
        <w:ind w:left="2925" w:hanging="1125"/>
      </w:pPr>
      <w:rPr>
        <w:rFonts w:hint="default"/>
      </w:rPr>
    </w:lvl>
    <w:lvl w:ilvl="5">
      <w:start w:val="1"/>
      <w:numFmt w:val="decimal"/>
      <w:isLgl/>
      <w:lvlText w:val="%1.%2.%3.%4.%5.%6."/>
      <w:lvlJc w:val="left"/>
      <w:pPr>
        <w:ind w:left="3285" w:hanging="112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4F607FF"/>
    <w:multiLevelType w:val="hybridMultilevel"/>
    <w:tmpl w:val="C9102780"/>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047336"/>
    <w:multiLevelType w:val="hybridMultilevel"/>
    <w:tmpl w:val="74D0DD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76904EB"/>
    <w:multiLevelType w:val="hybridMultilevel"/>
    <w:tmpl w:val="E1C27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F2C2D1E"/>
    <w:multiLevelType w:val="hybridMultilevel"/>
    <w:tmpl w:val="4DA644CE"/>
    <w:lvl w:ilvl="0" w:tplc="51C21A1A">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0163FE4"/>
    <w:multiLevelType w:val="hybridMultilevel"/>
    <w:tmpl w:val="95AEA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17F6801"/>
    <w:multiLevelType w:val="hybridMultilevel"/>
    <w:tmpl w:val="B20285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59D4927"/>
    <w:multiLevelType w:val="hybridMultilevel"/>
    <w:tmpl w:val="31B20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E95007D"/>
    <w:multiLevelType w:val="multilevel"/>
    <w:tmpl w:val="08CCDDF6"/>
    <w:lvl w:ilvl="0">
      <w:start w:val="1"/>
      <w:numFmt w:val="decimal"/>
      <w:lvlText w:val="%1."/>
      <w:lvlJc w:val="left"/>
      <w:pPr>
        <w:tabs>
          <w:tab w:val="num" w:pos="360"/>
        </w:tabs>
        <w:ind w:left="360" w:hanging="360"/>
      </w:pPr>
      <w:rPr>
        <w:rFonts w:hint="default"/>
        <w:i/>
      </w:rPr>
    </w:lvl>
    <w:lvl w:ilvl="1">
      <w:start w:val="1"/>
      <w:numFmt w:val="decimal"/>
      <w:lvlText w:val="%1.%2."/>
      <w:lvlJc w:val="left"/>
      <w:pPr>
        <w:tabs>
          <w:tab w:val="num" w:pos="1080"/>
        </w:tabs>
        <w:ind w:left="792" w:hanging="432"/>
      </w:pPr>
      <w:rPr>
        <w:b/>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40"/>
  </w:num>
  <w:num w:numId="2">
    <w:abstractNumId w:val="14"/>
  </w:num>
  <w:num w:numId="3">
    <w:abstractNumId w:val="24"/>
  </w:num>
  <w:num w:numId="4">
    <w:abstractNumId w:val="32"/>
  </w:num>
  <w:num w:numId="5">
    <w:abstractNumId w:val="20"/>
  </w:num>
  <w:num w:numId="6">
    <w:abstractNumId w:val="10"/>
  </w:num>
  <w:num w:numId="7">
    <w:abstractNumId w:val="38"/>
  </w:num>
  <w:num w:numId="8">
    <w:abstractNumId w:val="22"/>
  </w:num>
  <w:num w:numId="9">
    <w:abstractNumId w:val="26"/>
  </w:num>
  <w:num w:numId="10">
    <w:abstractNumId w:val="13"/>
  </w:num>
  <w:num w:numId="11">
    <w:abstractNumId w:val="28"/>
  </w:num>
  <w:num w:numId="12">
    <w:abstractNumId w:val="6"/>
  </w:num>
  <w:num w:numId="13">
    <w:abstractNumId w:val="33"/>
  </w:num>
  <w:num w:numId="14">
    <w:abstractNumId w:val="37"/>
  </w:num>
  <w:num w:numId="15">
    <w:abstractNumId w:val="9"/>
  </w:num>
  <w:num w:numId="16">
    <w:abstractNumId w:val="7"/>
  </w:num>
  <w:num w:numId="17">
    <w:abstractNumId w:val="27"/>
  </w:num>
  <w:num w:numId="18">
    <w:abstractNumId w:val="39"/>
  </w:num>
  <w:num w:numId="19">
    <w:abstractNumId w:val="30"/>
  </w:num>
  <w:num w:numId="20">
    <w:abstractNumId w:val="11"/>
  </w:num>
  <w:num w:numId="21">
    <w:abstractNumId w:val="17"/>
  </w:num>
  <w:num w:numId="22">
    <w:abstractNumId w:val="12"/>
  </w:num>
  <w:num w:numId="23">
    <w:abstractNumId w:val="8"/>
  </w:num>
  <w:num w:numId="24">
    <w:abstractNumId w:val="15"/>
  </w:num>
  <w:num w:numId="25">
    <w:abstractNumId w:val="18"/>
  </w:num>
  <w:num w:numId="26">
    <w:abstractNumId w:val="23"/>
  </w:num>
  <w:num w:numId="27">
    <w:abstractNumId w:val="36"/>
  </w:num>
  <w:num w:numId="28">
    <w:abstractNumId w:val="29"/>
  </w:num>
  <w:num w:numId="29">
    <w:abstractNumId w:val="35"/>
  </w:num>
  <w:num w:numId="30">
    <w:abstractNumId w:val="19"/>
  </w:num>
  <w:num w:numId="31">
    <w:abstractNumId w:val="21"/>
  </w:num>
  <w:num w:numId="32">
    <w:abstractNumId w:val="34"/>
  </w:num>
  <w:num w:numId="33">
    <w:abstractNumId w:val="16"/>
  </w:num>
  <w:num w:numId="34">
    <w:abstractNumId w:val="31"/>
  </w:num>
  <w:num w:numId="35">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999"/>
    <w:rsid w:val="000115A7"/>
    <w:rsid w:val="0003413B"/>
    <w:rsid w:val="00035174"/>
    <w:rsid w:val="000556F7"/>
    <w:rsid w:val="0005600F"/>
    <w:rsid w:val="00061D2C"/>
    <w:rsid w:val="00067496"/>
    <w:rsid w:val="0006776A"/>
    <w:rsid w:val="00075D8D"/>
    <w:rsid w:val="00077425"/>
    <w:rsid w:val="00077677"/>
    <w:rsid w:val="00082DD5"/>
    <w:rsid w:val="000A119E"/>
    <w:rsid w:val="000A6C0D"/>
    <w:rsid w:val="000B0C6A"/>
    <w:rsid w:val="000B4F0D"/>
    <w:rsid w:val="000D1C03"/>
    <w:rsid w:val="000F142F"/>
    <w:rsid w:val="000F2CAF"/>
    <w:rsid w:val="00116A5A"/>
    <w:rsid w:val="001234C1"/>
    <w:rsid w:val="00126C0C"/>
    <w:rsid w:val="00126E00"/>
    <w:rsid w:val="001302C2"/>
    <w:rsid w:val="0014588B"/>
    <w:rsid w:val="00147EAE"/>
    <w:rsid w:val="00150F9E"/>
    <w:rsid w:val="00164A4B"/>
    <w:rsid w:val="0016693F"/>
    <w:rsid w:val="00172F6C"/>
    <w:rsid w:val="00180A2C"/>
    <w:rsid w:val="00184282"/>
    <w:rsid w:val="00185410"/>
    <w:rsid w:val="00187BB4"/>
    <w:rsid w:val="00191DAE"/>
    <w:rsid w:val="00196D92"/>
    <w:rsid w:val="001A083D"/>
    <w:rsid w:val="001B5213"/>
    <w:rsid w:val="001B62B7"/>
    <w:rsid w:val="001C3E9A"/>
    <w:rsid w:val="001C5E8A"/>
    <w:rsid w:val="001D474B"/>
    <w:rsid w:val="001D5A3C"/>
    <w:rsid w:val="00210119"/>
    <w:rsid w:val="00212C58"/>
    <w:rsid w:val="00220656"/>
    <w:rsid w:val="002246CA"/>
    <w:rsid w:val="0023471F"/>
    <w:rsid w:val="00234F53"/>
    <w:rsid w:val="00251303"/>
    <w:rsid w:val="00254DA6"/>
    <w:rsid w:val="00261ECC"/>
    <w:rsid w:val="00263F79"/>
    <w:rsid w:val="002715B0"/>
    <w:rsid w:val="00281E77"/>
    <w:rsid w:val="00281EA5"/>
    <w:rsid w:val="00282738"/>
    <w:rsid w:val="00282FF5"/>
    <w:rsid w:val="002838F2"/>
    <w:rsid w:val="00284FB1"/>
    <w:rsid w:val="002912BC"/>
    <w:rsid w:val="002B22B6"/>
    <w:rsid w:val="002B6CB1"/>
    <w:rsid w:val="002B6D76"/>
    <w:rsid w:val="002B7125"/>
    <w:rsid w:val="002C6288"/>
    <w:rsid w:val="002C68AD"/>
    <w:rsid w:val="002D35A9"/>
    <w:rsid w:val="002D5D92"/>
    <w:rsid w:val="002D7941"/>
    <w:rsid w:val="002E2961"/>
    <w:rsid w:val="002E40D4"/>
    <w:rsid w:val="00300D01"/>
    <w:rsid w:val="00303343"/>
    <w:rsid w:val="00321172"/>
    <w:rsid w:val="00322FF3"/>
    <w:rsid w:val="003230DA"/>
    <w:rsid w:val="00324E38"/>
    <w:rsid w:val="00333571"/>
    <w:rsid w:val="0033496A"/>
    <w:rsid w:val="00343C48"/>
    <w:rsid w:val="003451C7"/>
    <w:rsid w:val="00350AFD"/>
    <w:rsid w:val="00353413"/>
    <w:rsid w:val="003667C2"/>
    <w:rsid w:val="00373CCC"/>
    <w:rsid w:val="0037478A"/>
    <w:rsid w:val="0037600B"/>
    <w:rsid w:val="00376E4F"/>
    <w:rsid w:val="0038186B"/>
    <w:rsid w:val="00382CD7"/>
    <w:rsid w:val="003919D2"/>
    <w:rsid w:val="003A06CB"/>
    <w:rsid w:val="003B3716"/>
    <w:rsid w:val="003B3B32"/>
    <w:rsid w:val="003C3517"/>
    <w:rsid w:val="003C501A"/>
    <w:rsid w:val="003D2143"/>
    <w:rsid w:val="003D2E84"/>
    <w:rsid w:val="003E1DCF"/>
    <w:rsid w:val="003E1E94"/>
    <w:rsid w:val="003F6595"/>
    <w:rsid w:val="00403246"/>
    <w:rsid w:val="004153BE"/>
    <w:rsid w:val="00415F43"/>
    <w:rsid w:val="00427506"/>
    <w:rsid w:val="00432783"/>
    <w:rsid w:val="00452546"/>
    <w:rsid w:val="0045715C"/>
    <w:rsid w:val="00461D8D"/>
    <w:rsid w:val="0046252A"/>
    <w:rsid w:val="00465ED7"/>
    <w:rsid w:val="00467E3B"/>
    <w:rsid w:val="00492254"/>
    <w:rsid w:val="00492502"/>
    <w:rsid w:val="004A3B88"/>
    <w:rsid w:val="004B596A"/>
    <w:rsid w:val="004B6E67"/>
    <w:rsid w:val="004C2001"/>
    <w:rsid w:val="004C493B"/>
    <w:rsid w:val="004D0F87"/>
    <w:rsid w:val="004D2BC8"/>
    <w:rsid w:val="004E136D"/>
    <w:rsid w:val="004E6BD8"/>
    <w:rsid w:val="004F70A6"/>
    <w:rsid w:val="00500830"/>
    <w:rsid w:val="005111D8"/>
    <w:rsid w:val="00511419"/>
    <w:rsid w:val="00520187"/>
    <w:rsid w:val="00524DC2"/>
    <w:rsid w:val="00531DF4"/>
    <w:rsid w:val="005328DF"/>
    <w:rsid w:val="005329A9"/>
    <w:rsid w:val="00535855"/>
    <w:rsid w:val="0054572A"/>
    <w:rsid w:val="00555E71"/>
    <w:rsid w:val="00557C4F"/>
    <w:rsid w:val="00561367"/>
    <w:rsid w:val="0057182C"/>
    <w:rsid w:val="0057189E"/>
    <w:rsid w:val="0057719B"/>
    <w:rsid w:val="00583DDE"/>
    <w:rsid w:val="00583E3C"/>
    <w:rsid w:val="00591964"/>
    <w:rsid w:val="005A5666"/>
    <w:rsid w:val="005B63AD"/>
    <w:rsid w:val="005C155C"/>
    <w:rsid w:val="005C29DC"/>
    <w:rsid w:val="005D4D9F"/>
    <w:rsid w:val="005D6EE2"/>
    <w:rsid w:val="00605991"/>
    <w:rsid w:val="00615043"/>
    <w:rsid w:val="00616B48"/>
    <w:rsid w:val="0062068F"/>
    <w:rsid w:val="00624FAA"/>
    <w:rsid w:val="0064010F"/>
    <w:rsid w:val="0065184D"/>
    <w:rsid w:val="00656726"/>
    <w:rsid w:val="006574B9"/>
    <w:rsid w:val="006672DC"/>
    <w:rsid w:val="00671DF0"/>
    <w:rsid w:val="006732F0"/>
    <w:rsid w:val="0068611C"/>
    <w:rsid w:val="00695E3D"/>
    <w:rsid w:val="006A7884"/>
    <w:rsid w:val="006B11C2"/>
    <w:rsid w:val="006B22CC"/>
    <w:rsid w:val="006C4A0A"/>
    <w:rsid w:val="006C4D89"/>
    <w:rsid w:val="006D4BE0"/>
    <w:rsid w:val="006D5CDB"/>
    <w:rsid w:val="006F319C"/>
    <w:rsid w:val="00704783"/>
    <w:rsid w:val="0071052B"/>
    <w:rsid w:val="007105F9"/>
    <w:rsid w:val="007164E7"/>
    <w:rsid w:val="0072216E"/>
    <w:rsid w:val="00732394"/>
    <w:rsid w:val="0073277A"/>
    <w:rsid w:val="007330CE"/>
    <w:rsid w:val="0073375C"/>
    <w:rsid w:val="00736F03"/>
    <w:rsid w:val="00760EFC"/>
    <w:rsid w:val="0076720B"/>
    <w:rsid w:val="00771771"/>
    <w:rsid w:val="007725DF"/>
    <w:rsid w:val="0077321F"/>
    <w:rsid w:val="0077509D"/>
    <w:rsid w:val="00775999"/>
    <w:rsid w:val="007775E0"/>
    <w:rsid w:val="00794467"/>
    <w:rsid w:val="007A74E9"/>
    <w:rsid w:val="007B33E1"/>
    <w:rsid w:val="007C01B2"/>
    <w:rsid w:val="007D1896"/>
    <w:rsid w:val="007D7BB5"/>
    <w:rsid w:val="007E2AC4"/>
    <w:rsid w:val="007E353D"/>
    <w:rsid w:val="007E5A1B"/>
    <w:rsid w:val="007F1652"/>
    <w:rsid w:val="00803212"/>
    <w:rsid w:val="00804A83"/>
    <w:rsid w:val="00805BEE"/>
    <w:rsid w:val="00811FC8"/>
    <w:rsid w:val="00815F30"/>
    <w:rsid w:val="00816D6F"/>
    <w:rsid w:val="00821207"/>
    <w:rsid w:val="0083442F"/>
    <w:rsid w:val="00835254"/>
    <w:rsid w:val="00842368"/>
    <w:rsid w:val="00845EBC"/>
    <w:rsid w:val="00853481"/>
    <w:rsid w:val="008637DF"/>
    <w:rsid w:val="00876579"/>
    <w:rsid w:val="00890142"/>
    <w:rsid w:val="00892FAD"/>
    <w:rsid w:val="00893215"/>
    <w:rsid w:val="00894279"/>
    <w:rsid w:val="008A09C6"/>
    <w:rsid w:val="008A7ECF"/>
    <w:rsid w:val="008C7460"/>
    <w:rsid w:val="008D1086"/>
    <w:rsid w:val="008D2104"/>
    <w:rsid w:val="008E3DF5"/>
    <w:rsid w:val="008E4A67"/>
    <w:rsid w:val="008F58A3"/>
    <w:rsid w:val="00917ED5"/>
    <w:rsid w:val="009227CC"/>
    <w:rsid w:val="00936618"/>
    <w:rsid w:val="00945CF8"/>
    <w:rsid w:val="00946CA8"/>
    <w:rsid w:val="00950A60"/>
    <w:rsid w:val="0095132F"/>
    <w:rsid w:val="00951D24"/>
    <w:rsid w:val="00952393"/>
    <w:rsid w:val="009542A0"/>
    <w:rsid w:val="00955C73"/>
    <w:rsid w:val="00961EEC"/>
    <w:rsid w:val="00966F20"/>
    <w:rsid w:val="00974655"/>
    <w:rsid w:val="00977978"/>
    <w:rsid w:val="00985FDB"/>
    <w:rsid w:val="00991E43"/>
    <w:rsid w:val="009977A4"/>
    <w:rsid w:val="009A297F"/>
    <w:rsid w:val="009B139F"/>
    <w:rsid w:val="009B1D49"/>
    <w:rsid w:val="009B6A0A"/>
    <w:rsid w:val="009C3E9F"/>
    <w:rsid w:val="009C3FBE"/>
    <w:rsid w:val="009C6275"/>
    <w:rsid w:val="009D2B53"/>
    <w:rsid w:val="009D34DD"/>
    <w:rsid w:val="009E615F"/>
    <w:rsid w:val="009F2BCD"/>
    <w:rsid w:val="00A117FF"/>
    <w:rsid w:val="00A15A58"/>
    <w:rsid w:val="00A30F4B"/>
    <w:rsid w:val="00A35D3F"/>
    <w:rsid w:val="00A438C8"/>
    <w:rsid w:val="00A46ACE"/>
    <w:rsid w:val="00A67016"/>
    <w:rsid w:val="00A72514"/>
    <w:rsid w:val="00A766B4"/>
    <w:rsid w:val="00A93BE3"/>
    <w:rsid w:val="00AA3EE9"/>
    <w:rsid w:val="00AC3D3F"/>
    <w:rsid w:val="00AC575E"/>
    <w:rsid w:val="00AE2880"/>
    <w:rsid w:val="00B068A9"/>
    <w:rsid w:val="00B208E6"/>
    <w:rsid w:val="00B20D13"/>
    <w:rsid w:val="00B27893"/>
    <w:rsid w:val="00B3735E"/>
    <w:rsid w:val="00B40E26"/>
    <w:rsid w:val="00B46BCB"/>
    <w:rsid w:val="00B46F9D"/>
    <w:rsid w:val="00B47C18"/>
    <w:rsid w:val="00B64EF3"/>
    <w:rsid w:val="00B75453"/>
    <w:rsid w:val="00B75BD9"/>
    <w:rsid w:val="00B81F75"/>
    <w:rsid w:val="00B8681A"/>
    <w:rsid w:val="00B96C1E"/>
    <w:rsid w:val="00BA1B53"/>
    <w:rsid w:val="00BA240D"/>
    <w:rsid w:val="00BA2CA1"/>
    <w:rsid w:val="00BA7523"/>
    <w:rsid w:val="00BB01B5"/>
    <w:rsid w:val="00BB3C9E"/>
    <w:rsid w:val="00BC0B0F"/>
    <w:rsid w:val="00BF6A55"/>
    <w:rsid w:val="00BF7120"/>
    <w:rsid w:val="00C076D7"/>
    <w:rsid w:val="00C11903"/>
    <w:rsid w:val="00C14BE7"/>
    <w:rsid w:val="00C248B9"/>
    <w:rsid w:val="00C33207"/>
    <w:rsid w:val="00C33A83"/>
    <w:rsid w:val="00C34B4F"/>
    <w:rsid w:val="00C40A69"/>
    <w:rsid w:val="00C41FBA"/>
    <w:rsid w:val="00C57255"/>
    <w:rsid w:val="00C73BFD"/>
    <w:rsid w:val="00CA54A1"/>
    <w:rsid w:val="00CB5476"/>
    <w:rsid w:val="00CC371C"/>
    <w:rsid w:val="00CD1CD6"/>
    <w:rsid w:val="00CD2C5D"/>
    <w:rsid w:val="00CD3004"/>
    <w:rsid w:val="00CD453F"/>
    <w:rsid w:val="00CF1418"/>
    <w:rsid w:val="00D01F59"/>
    <w:rsid w:val="00D03413"/>
    <w:rsid w:val="00D03EA5"/>
    <w:rsid w:val="00D06F99"/>
    <w:rsid w:val="00D2418D"/>
    <w:rsid w:val="00D30C86"/>
    <w:rsid w:val="00D3126A"/>
    <w:rsid w:val="00D62E6B"/>
    <w:rsid w:val="00D63AA2"/>
    <w:rsid w:val="00D6769F"/>
    <w:rsid w:val="00D70CDF"/>
    <w:rsid w:val="00D923F1"/>
    <w:rsid w:val="00D97D2C"/>
    <w:rsid w:val="00DA32CD"/>
    <w:rsid w:val="00DA58FB"/>
    <w:rsid w:val="00DA5AA2"/>
    <w:rsid w:val="00DA62F2"/>
    <w:rsid w:val="00DB1C0E"/>
    <w:rsid w:val="00DB586F"/>
    <w:rsid w:val="00DC6F57"/>
    <w:rsid w:val="00DD2F30"/>
    <w:rsid w:val="00DE6F68"/>
    <w:rsid w:val="00DF2813"/>
    <w:rsid w:val="00DF4AC4"/>
    <w:rsid w:val="00E06955"/>
    <w:rsid w:val="00E124B1"/>
    <w:rsid w:val="00E174D5"/>
    <w:rsid w:val="00E351E5"/>
    <w:rsid w:val="00E35A8A"/>
    <w:rsid w:val="00E50702"/>
    <w:rsid w:val="00E55FB6"/>
    <w:rsid w:val="00E63DA2"/>
    <w:rsid w:val="00E65ABE"/>
    <w:rsid w:val="00E65DD9"/>
    <w:rsid w:val="00E80AF7"/>
    <w:rsid w:val="00EC1127"/>
    <w:rsid w:val="00EC3280"/>
    <w:rsid w:val="00ED1E0D"/>
    <w:rsid w:val="00ED3523"/>
    <w:rsid w:val="00EE354A"/>
    <w:rsid w:val="00EF300B"/>
    <w:rsid w:val="00EF3D70"/>
    <w:rsid w:val="00F07913"/>
    <w:rsid w:val="00F13540"/>
    <w:rsid w:val="00F211E4"/>
    <w:rsid w:val="00F44F59"/>
    <w:rsid w:val="00F6254C"/>
    <w:rsid w:val="00F722B3"/>
    <w:rsid w:val="00F76AD6"/>
    <w:rsid w:val="00F96B54"/>
    <w:rsid w:val="00FB0488"/>
    <w:rsid w:val="00FB0BF2"/>
    <w:rsid w:val="00FB137D"/>
    <w:rsid w:val="00FB215E"/>
    <w:rsid w:val="00FB26B2"/>
    <w:rsid w:val="00FB79D4"/>
    <w:rsid w:val="00FC084B"/>
    <w:rsid w:val="00FC4D31"/>
    <w:rsid w:val="00FD40CA"/>
    <w:rsid w:val="00FD6C04"/>
    <w:rsid w:val="00FE796A"/>
    <w:rsid w:val="00FF7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schemas-tilde-lv/tildestengine" w:name="veidn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775999"/>
    <w:rPr>
      <w:sz w:val="24"/>
      <w:szCs w:val="24"/>
    </w:rPr>
  </w:style>
  <w:style w:type="paragraph" w:styleId="Heading1">
    <w:name w:val="heading 1"/>
    <w:aliases w:val="Virsraksts 1 Rakstz. Rakstz."/>
    <w:basedOn w:val="Normal"/>
    <w:next w:val="Normal"/>
    <w:link w:val="Heading1Char"/>
    <w:qFormat/>
    <w:rsid w:val="0077599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759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31D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31DF4"/>
    <w:pPr>
      <w:keepNext/>
      <w:spacing w:before="240" w:after="60"/>
      <w:outlineLvl w:val="3"/>
    </w:pPr>
    <w:rPr>
      <w:b/>
      <w:bCs/>
      <w:sz w:val="28"/>
      <w:szCs w:val="28"/>
    </w:rPr>
  </w:style>
  <w:style w:type="paragraph" w:styleId="Heading5">
    <w:name w:val="heading 5"/>
    <w:basedOn w:val="Normal"/>
    <w:next w:val="Normal"/>
    <w:link w:val="Heading5Char"/>
    <w:qFormat/>
    <w:rsid w:val="00531DF4"/>
    <w:pPr>
      <w:spacing w:before="240" w:after="60"/>
      <w:outlineLvl w:val="4"/>
    </w:pPr>
    <w:rPr>
      <w:b/>
      <w:bCs/>
      <w:i/>
      <w:iCs/>
      <w:sz w:val="26"/>
      <w:szCs w:val="26"/>
    </w:rPr>
  </w:style>
  <w:style w:type="paragraph" w:styleId="Heading6">
    <w:name w:val="heading 6"/>
    <w:basedOn w:val="Normal"/>
    <w:next w:val="Normal"/>
    <w:link w:val="Heading6Char"/>
    <w:qFormat/>
    <w:rsid w:val="00A93BE3"/>
    <w:pPr>
      <w:spacing w:before="240" w:after="60"/>
      <w:outlineLvl w:val="5"/>
    </w:pPr>
    <w:rPr>
      <w:b/>
      <w:bCs/>
      <w:sz w:val="22"/>
      <w:szCs w:val="22"/>
    </w:rPr>
  </w:style>
  <w:style w:type="paragraph" w:styleId="Heading7">
    <w:name w:val="heading 7"/>
    <w:basedOn w:val="Normal"/>
    <w:next w:val="Normal"/>
    <w:link w:val="Heading7Char"/>
    <w:qFormat/>
    <w:rsid w:val="00A93BE3"/>
    <w:pPr>
      <w:spacing w:before="240" w:after="60"/>
      <w:outlineLvl w:val="6"/>
    </w:pPr>
  </w:style>
  <w:style w:type="paragraph" w:styleId="Heading8">
    <w:name w:val="heading 8"/>
    <w:basedOn w:val="Normal"/>
    <w:next w:val="Normal"/>
    <w:link w:val="Heading8Char"/>
    <w:qFormat/>
    <w:rsid w:val="00A93BE3"/>
    <w:pPr>
      <w:spacing w:before="240" w:after="60"/>
      <w:outlineLvl w:val="7"/>
    </w:pPr>
    <w:rPr>
      <w:i/>
      <w:iCs/>
    </w:rPr>
  </w:style>
  <w:style w:type="paragraph" w:styleId="Heading9">
    <w:name w:val="heading 9"/>
    <w:basedOn w:val="Normal"/>
    <w:next w:val="Normal"/>
    <w:link w:val="Heading9Char"/>
    <w:qFormat/>
    <w:rsid w:val="00A93BE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irsraksts 1 Rakstz. Rakstz. Char"/>
    <w:link w:val="Heading1"/>
    <w:locked/>
    <w:rsid w:val="00775999"/>
    <w:rPr>
      <w:rFonts w:ascii="Arial" w:hAnsi="Arial" w:cs="Times New Roman"/>
      <w:b/>
      <w:kern w:val="32"/>
      <w:sz w:val="32"/>
      <w:lang w:val="lv-LV" w:eastAsia="lv-LV"/>
    </w:rPr>
  </w:style>
  <w:style w:type="character" w:customStyle="1" w:styleId="Heading2Char">
    <w:name w:val="Heading 2 Char"/>
    <w:link w:val="Heading2"/>
    <w:semiHidden/>
    <w:locked/>
    <w:rsid w:val="0054572A"/>
    <w:rPr>
      <w:rFonts w:ascii="Cambria" w:hAnsi="Cambria" w:cs="Times New Roman"/>
      <w:b/>
      <w:bCs/>
      <w:i/>
      <w:iCs/>
      <w:sz w:val="28"/>
      <w:szCs w:val="28"/>
    </w:rPr>
  </w:style>
  <w:style w:type="character" w:customStyle="1" w:styleId="Heading3Char">
    <w:name w:val="Heading 3 Char"/>
    <w:link w:val="Heading3"/>
    <w:semiHidden/>
    <w:locked/>
    <w:rsid w:val="0054572A"/>
    <w:rPr>
      <w:rFonts w:ascii="Cambria" w:hAnsi="Cambria" w:cs="Times New Roman"/>
      <w:b/>
      <w:bCs/>
      <w:sz w:val="26"/>
      <w:szCs w:val="26"/>
    </w:rPr>
  </w:style>
  <w:style w:type="character" w:customStyle="1" w:styleId="Heading4Char">
    <w:name w:val="Heading 4 Char"/>
    <w:link w:val="Heading4"/>
    <w:semiHidden/>
    <w:locked/>
    <w:rsid w:val="0054572A"/>
    <w:rPr>
      <w:rFonts w:ascii="Calibri" w:hAnsi="Calibri" w:cs="Times New Roman"/>
      <w:b/>
      <w:bCs/>
      <w:sz w:val="28"/>
      <w:szCs w:val="28"/>
    </w:rPr>
  </w:style>
  <w:style w:type="character" w:customStyle="1" w:styleId="Heading5Char">
    <w:name w:val="Heading 5 Char"/>
    <w:link w:val="Heading5"/>
    <w:semiHidden/>
    <w:locked/>
    <w:rsid w:val="0054572A"/>
    <w:rPr>
      <w:rFonts w:ascii="Calibri" w:hAnsi="Calibri" w:cs="Times New Roman"/>
      <w:b/>
      <w:bCs/>
      <w:i/>
      <w:iCs/>
      <w:sz w:val="26"/>
      <w:szCs w:val="26"/>
    </w:rPr>
  </w:style>
  <w:style w:type="character" w:customStyle="1" w:styleId="Heading6Char">
    <w:name w:val="Heading 6 Char"/>
    <w:link w:val="Heading6"/>
    <w:semiHidden/>
    <w:locked/>
    <w:rsid w:val="0054572A"/>
    <w:rPr>
      <w:rFonts w:ascii="Calibri" w:hAnsi="Calibri" w:cs="Times New Roman"/>
      <w:b/>
      <w:bCs/>
      <w:sz w:val="22"/>
      <w:szCs w:val="22"/>
    </w:rPr>
  </w:style>
  <w:style w:type="character" w:customStyle="1" w:styleId="Heading7Char">
    <w:name w:val="Heading 7 Char"/>
    <w:link w:val="Heading7"/>
    <w:semiHidden/>
    <w:locked/>
    <w:rsid w:val="0054572A"/>
    <w:rPr>
      <w:rFonts w:ascii="Calibri" w:hAnsi="Calibri" w:cs="Times New Roman"/>
      <w:sz w:val="24"/>
      <w:szCs w:val="24"/>
    </w:rPr>
  </w:style>
  <w:style w:type="character" w:customStyle="1" w:styleId="Heading8Char">
    <w:name w:val="Heading 8 Char"/>
    <w:link w:val="Heading8"/>
    <w:semiHidden/>
    <w:locked/>
    <w:rsid w:val="0054572A"/>
    <w:rPr>
      <w:rFonts w:ascii="Calibri" w:hAnsi="Calibri" w:cs="Times New Roman"/>
      <w:i/>
      <w:iCs/>
      <w:sz w:val="24"/>
      <w:szCs w:val="24"/>
    </w:rPr>
  </w:style>
  <w:style w:type="character" w:customStyle="1" w:styleId="Heading9Char">
    <w:name w:val="Heading 9 Char"/>
    <w:link w:val="Heading9"/>
    <w:semiHidden/>
    <w:locked/>
    <w:rsid w:val="0054572A"/>
    <w:rPr>
      <w:rFonts w:ascii="Cambria" w:hAnsi="Cambria" w:cs="Times New Roman"/>
      <w:sz w:val="22"/>
      <w:szCs w:val="22"/>
    </w:rPr>
  </w:style>
  <w:style w:type="paragraph" w:styleId="TOC1">
    <w:name w:val="toc 1"/>
    <w:basedOn w:val="Normal"/>
    <w:next w:val="Normal"/>
    <w:autoRedefine/>
    <w:uiPriority w:val="39"/>
    <w:qFormat/>
    <w:rsid w:val="00775999"/>
    <w:pPr>
      <w:spacing w:before="360" w:after="360"/>
    </w:pPr>
    <w:rPr>
      <w:rFonts w:ascii="Calibri" w:hAnsi="Calibri" w:cs="Calibri"/>
      <w:b/>
      <w:bCs/>
      <w:caps/>
      <w:sz w:val="22"/>
      <w:szCs w:val="22"/>
      <w:u w:val="single"/>
    </w:rPr>
  </w:style>
  <w:style w:type="paragraph" w:styleId="TOC2">
    <w:name w:val="toc 2"/>
    <w:basedOn w:val="Normal"/>
    <w:next w:val="Normal"/>
    <w:autoRedefine/>
    <w:uiPriority w:val="39"/>
    <w:qFormat/>
    <w:rsid w:val="00775999"/>
    <w:rPr>
      <w:rFonts w:ascii="Calibri" w:hAnsi="Calibri" w:cs="Calibri"/>
      <w:b/>
      <w:bCs/>
      <w:smallCaps/>
      <w:sz w:val="22"/>
      <w:szCs w:val="22"/>
    </w:rPr>
  </w:style>
  <w:style w:type="paragraph" w:styleId="TOC3">
    <w:name w:val="toc 3"/>
    <w:basedOn w:val="Normal"/>
    <w:next w:val="Normal"/>
    <w:autoRedefine/>
    <w:uiPriority w:val="39"/>
    <w:qFormat/>
    <w:rsid w:val="003B3716"/>
    <w:pPr>
      <w:tabs>
        <w:tab w:val="right" w:pos="9108"/>
      </w:tabs>
    </w:pPr>
    <w:rPr>
      <w:rFonts w:ascii="Calibri" w:hAnsi="Calibri" w:cs="Calibri"/>
      <w:smallCaps/>
      <w:sz w:val="22"/>
      <w:szCs w:val="22"/>
    </w:rPr>
  </w:style>
  <w:style w:type="paragraph" w:styleId="TOC5">
    <w:name w:val="toc 5"/>
    <w:basedOn w:val="Normal"/>
    <w:next w:val="Normal"/>
    <w:autoRedefine/>
    <w:semiHidden/>
    <w:rsid w:val="00775999"/>
    <w:rPr>
      <w:rFonts w:ascii="Calibri" w:hAnsi="Calibri" w:cs="Calibri"/>
      <w:sz w:val="22"/>
      <w:szCs w:val="22"/>
    </w:rPr>
  </w:style>
  <w:style w:type="character" w:styleId="Hyperlink">
    <w:name w:val="Hyperlink"/>
    <w:uiPriority w:val="99"/>
    <w:rsid w:val="00775999"/>
    <w:rPr>
      <w:rFonts w:cs="Times New Roman"/>
      <w:color w:val="0000FF"/>
      <w:u w:val="single"/>
    </w:rPr>
  </w:style>
  <w:style w:type="paragraph" w:styleId="Footer">
    <w:name w:val="footer"/>
    <w:basedOn w:val="Normal"/>
    <w:link w:val="FooterChar"/>
    <w:rsid w:val="00775999"/>
    <w:pPr>
      <w:tabs>
        <w:tab w:val="center" w:pos="4153"/>
        <w:tab w:val="right" w:pos="8306"/>
      </w:tabs>
    </w:pPr>
    <w:rPr>
      <w:noProof/>
      <w:sz w:val="28"/>
      <w:szCs w:val="20"/>
      <w:lang w:eastAsia="en-US"/>
    </w:rPr>
  </w:style>
  <w:style w:type="character" w:customStyle="1" w:styleId="FooterChar">
    <w:name w:val="Footer Char"/>
    <w:link w:val="Footer"/>
    <w:semiHidden/>
    <w:locked/>
    <w:rsid w:val="0054572A"/>
    <w:rPr>
      <w:rFonts w:cs="Times New Roman"/>
      <w:sz w:val="24"/>
      <w:szCs w:val="24"/>
    </w:rPr>
  </w:style>
  <w:style w:type="character" w:styleId="PageNumber">
    <w:name w:val="page number"/>
    <w:rsid w:val="00775999"/>
    <w:rPr>
      <w:rFonts w:cs="Times New Roman"/>
    </w:rPr>
  </w:style>
  <w:style w:type="paragraph" w:styleId="BodyTextIndent2">
    <w:name w:val="Body Text Indent 2"/>
    <w:basedOn w:val="Normal"/>
    <w:link w:val="BodyTextIndent2Char"/>
    <w:rsid w:val="00775999"/>
    <w:pPr>
      <w:ind w:right="-21" w:firstLine="600"/>
      <w:jc w:val="both"/>
    </w:pPr>
    <w:rPr>
      <w:noProof/>
      <w:lang w:val="en-US"/>
    </w:rPr>
  </w:style>
  <w:style w:type="character" w:customStyle="1" w:styleId="BodyTextIndent2Char">
    <w:name w:val="Body Text Indent 2 Char"/>
    <w:link w:val="BodyTextIndent2"/>
    <w:locked/>
    <w:rsid w:val="00775999"/>
    <w:rPr>
      <w:rFonts w:cs="Times New Roman"/>
      <w:noProof/>
      <w:sz w:val="24"/>
      <w:lang w:val="en-US" w:eastAsia="lv-LV"/>
    </w:rPr>
  </w:style>
  <w:style w:type="paragraph" w:styleId="BodyTextIndent">
    <w:name w:val="Body Text Indent"/>
    <w:basedOn w:val="Normal"/>
    <w:link w:val="BodyTextIndentChar"/>
    <w:rsid w:val="00775999"/>
    <w:pPr>
      <w:spacing w:after="120"/>
      <w:ind w:left="283"/>
    </w:pPr>
  </w:style>
  <w:style w:type="character" w:customStyle="1" w:styleId="BodyTextIndentChar">
    <w:name w:val="Body Text Indent Char"/>
    <w:link w:val="BodyTextIndent"/>
    <w:semiHidden/>
    <w:locked/>
    <w:rsid w:val="0054572A"/>
    <w:rPr>
      <w:rFonts w:cs="Times New Roman"/>
      <w:sz w:val="24"/>
      <w:szCs w:val="24"/>
    </w:rPr>
  </w:style>
  <w:style w:type="paragraph" w:styleId="Header">
    <w:name w:val="header"/>
    <w:basedOn w:val="Normal"/>
    <w:link w:val="HeaderChar"/>
    <w:rsid w:val="00775999"/>
    <w:pPr>
      <w:tabs>
        <w:tab w:val="center" w:pos="4153"/>
        <w:tab w:val="right" w:pos="8306"/>
      </w:tabs>
    </w:pPr>
  </w:style>
  <w:style w:type="character" w:customStyle="1" w:styleId="HeaderChar">
    <w:name w:val="Header Char"/>
    <w:link w:val="Header"/>
    <w:semiHidden/>
    <w:locked/>
    <w:rsid w:val="0054572A"/>
    <w:rPr>
      <w:rFonts w:cs="Times New Roman"/>
      <w:sz w:val="24"/>
      <w:szCs w:val="24"/>
    </w:rPr>
  </w:style>
  <w:style w:type="paragraph" w:styleId="BodyText">
    <w:name w:val="Body Text"/>
    <w:aliases w:val="Pamatteksts Rakstz."/>
    <w:basedOn w:val="Normal"/>
    <w:link w:val="BodyTextChar"/>
    <w:rsid w:val="00775999"/>
    <w:pPr>
      <w:jc w:val="both"/>
    </w:pPr>
    <w:rPr>
      <w:sz w:val="28"/>
      <w:szCs w:val="20"/>
      <w:lang w:val="ru-RU" w:eastAsia="en-US"/>
    </w:rPr>
  </w:style>
  <w:style w:type="character" w:customStyle="1" w:styleId="BodyTextChar">
    <w:name w:val="Body Text Char"/>
    <w:aliases w:val="Pamatteksts Rakstz. Char"/>
    <w:link w:val="BodyText"/>
    <w:locked/>
    <w:rsid w:val="00775999"/>
    <w:rPr>
      <w:rFonts w:cs="Times New Roman"/>
      <w:sz w:val="28"/>
      <w:lang w:val="ru-RU" w:eastAsia="en-US"/>
    </w:rPr>
  </w:style>
  <w:style w:type="paragraph" w:styleId="BodyText2">
    <w:name w:val="Body Text 2"/>
    <w:basedOn w:val="Normal"/>
    <w:link w:val="BodyText2Char"/>
    <w:rsid w:val="00775999"/>
    <w:pPr>
      <w:spacing w:after="120" w:line="480" w:lineRule="auto"/>
    </w:pPr>
  </w:style>
  <w:style w:type="character" w:customStyle="1" w:styleId="BodyText2Char">
    <w:name w:val="Body Text 2 Char"/>
    <w:link w:val="BodyText2"/>
    <w:semiHidden/>
    <w:locked/>
    <w:rsid w:val="0054572A"/>
    <w:rPr>
      <w:rFonts w:cs="Times New Roman"/>
      <w:sz w:val="24"/>
      <w:szCs w:val="24"/>
    </w:rPr>
  </w:style>
  <w:style w:type="paragraph" w:styleId="BodyText3">
    <w:name w:val="Body Text 3"/>
    <w:basedOn w:val="Normal"/>
    <w:link w:val="BodyText3Char"/>
    <w:rsid w:val="00775999"/>
    <w:pPr>
      <w:spacing w:after="120"/>
    </w:pPr>
    <w:rPr>
      <w:sz w:val="16"/>
      <w:szCs w:val="16"/>
    </w:rPr>
  </w:style>
  <w:style w:type="character" w:customStyle="1" w:styleId="BodyText3Char">
    <w:name w:val="Body Text 3 Char"/>
    <w:link w:val="BodyText3"/>
    <w:semiHidden/>
    <w:locked/>
    <w:rsid w:val="0054572A"/>
    <w:rPr>
      <w:rFonts w:cs="Times New Roman"/>
      <w:sz w:val="16"/>
      <w:szCs w:val="16"/>
    </w:rPr>
  </w:style>
  <w:style w:type="paragraph" w:customStyle="1" w:styleId="RakstzRakstz">
    <w:name w:val="Rakstz. Rakstz."/>
    <w:basedOn w:val="Normal"/>
    <w:rsid w:val="00775999"/>
    <w:rPr>
      <w:lang w:val="pl-PL" w:eastAsia="pl-PL"/>
    </w:rPr>
  </w:style>
  <w:style w:type="paragraph" w:customStyle="1" w:styleId="StyleBodyJustifiedAfter0pt">
    <w:name w:val="Style Body + Justified After:  0 pt"/>
    <w:basedOn w:val="Normal"/>
    <w:rsid w:val="00775999"/>
    <w:pPr>
      <w:spacing w:before="200" w:after="200"/>
      <w:jc w:val="both"/>
    </w:pPr>
    <w:rPr>
      <w:rFonts w:ascii="Bookman Old Style" w:hAnsi="Bookman Old Style"/>
      <w:sz w:val="22"/>
    </w:rPr>
  </w:style>
  <w:style w:type="paragraph" w:styleId="NormalWeb">
    <w:name w:val="Normal (Web)"/>
    <w:basedOn w:val="Normal"/>
    <w:rsid w:val="00775999"/>
    <w:pPr>
      <w:spacing w:before="100" w:beforeAutospacing="1" w:after="100" w:afterAutospacing="1"/>
    </w:pPr>
  </w:style>
  <w:style w:type="character" w:customStyle="1" w:styleId="apple-style-span">
    <w:name w:val="apple-style-span"/>
    <w:rsid w:val="00775999"/>
    <w:rPr>
      <w:rFonts w:cs="Times New Roman"/>
    </w:rPr>
  </w:style>
  <w:style w:type="paragraph" w:styleId="Caption">
    <w:name w:val="caption"/>
    <w:basedOn w:val="Normal"/>
    <w:next w:val="Normal"/>
    <w:qFormat/>
    <w:rsid w:val="00531DF4"/>
    <w:pPr>
      <w:jc w:val="both"/>
    </w:pPr>
    <w:rPr>
      <w:b/>
      <w:i/>
      <w:sz w:val="28"/>
      <w:szCs w:val="20"/>
      <w:lang w:eastAsia="en-US"/>
    </w:rPr>
  </w:style>
  <w:style w:type="paragraph" w:customStyle="1" w:styleId="Teksts">
    <w:name w:val="Teksts"/>
    <w:basedOn w:val="Normal"/>
    <w:rsid w:val="00531DF4"/>
    <w:pPr>
      <w:spacing w:line="360" w:lineRule="auto"/>
      <w:ind w:firstLine="709"/>
      <w:jc w:val="both"/>
    </w:pPr>
    <w:rPr>
      <w:iCs/>
    </w:rPr>
  </w:style>
  <w:style w:type="character" w:styleId="Strong">
    <w:name w:val="Strong"/>
    <w:qFormat/>
    <w:rsid w:val="00531DF4"/>
    <w:rPr>
      <w:rFonts w:cs="Times New Roman"/>
      <w:b/>
    </w:rPr>
  </w:style>
  <w:style w:type="table" w:styleId="TableGrid">
    <w:name w:val="Table Grid"/>
    <w:basedOn w:val="TableNormal"/>
    <w:rsid w:val="00531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Subtitle"/>
    <w:link w:val="TitleChar"/>
    <w:qFormat/>
    <w:rsid w:val="00531DF4"/>
    <w:pPr>
      <w:suppressAutoHyphens/>
      <w:jc w:val="center"/>
    </w:pPr>
    <w:rPr>
      <w:rFonts w:ascii="CentSchbook TL" w:hAnsi="CentSchbook TL"/>
      <w:b/>
      <w:bCs/>
      <w:sz w:val="32"/>
      <w:lang w:eastAsia="ar-SA"/>
    </w:rPr>
  </w:style>
  <w:style w:type="character" w:customStyle="1" w:styleId="TitleChar">
    <w:name w:val="Title Char"/>
    <w:link w:val="Title"/>
    <w:locked/>
    <w:rsid w:val="0054572A"/>
    <w:rPr>
      <w:rFonts w:ascii="Cambria" w:hAnsi="Cambria" w:cs="Times New Roman"/>
      <w:b/>
      <w:bCs/>
      <w:kern w:val="28"/>
      <w:sz w:val="32"/>
      <w:szCs w:val="32"/>
    </w:rPr>
  </w:style>
  <w:style w:type="paragraph" w:styleId="Subtitle">
    <w:name w:val="Subtitle"/>
    <w:basedOn w:val="Normal"/>
    <w:link w:val="SubtitleChar"/>
    <w:qFormat/>
    <w:rsid w:val="00531DF4"/>
    <w:pPr>
      <w:spacing w:after="60"/>
      <w:jc w:val="center"/>
      <w:outlineLvl w:val="1"/>
    </w:pPr>
    <w:rPr>
      <w:rFonts w:ascii="Arial" w:hAnsi="Arial" w:cs="Arial"/>
    </w:rPr>
  </w:style>
  <w:style w:type="character" w:customStyle="1" w:styleId="SubtitleChar">
    <w:name w:val="Subtitle Char"/>
    <w:link w:val="Subtitle"/>
    <w:locked/>
    <w:rsid w:val="0054572A"/>
    <w:rPr>
      <w:rFonts w:ascii="Cambria" w:hAnsi="Cambria" w:cs="Times New Roman"/>
      <w:sz w:val="24"/>
      <w:szCs w:val="24"/>
    </w:rPr>
  </w:style>
  <w:style w:type="paragraph" w:styleId="CommentText">
    <w:name w:val="annotation text"/>
    <w:basedOn w:val="Normal"/>
    <w:link w:val="CommentTextChar"/>
    <w:semiHidden/>
    <w:rsid w:val="00531DF4"/>
    <w:rPr>
      <w:sz w:val="20"/>
      <w:szCs w:val="20"/>
    </w:rPr>
  </w:style>
  <w:style w:type="character" w:customStyle="1" w:styleId="CommentTextChar">
    <w:name w:val="Comment Text Char"/>
    <w:link w:val="CommentText"/>
    <w:semiHidden/>
    <w:locked/>
    <w:rsid w:val="0054572A"/>
    <w:rPr>
      <w:rFonts w:cs="Times New Roman"/>
    </w:rPr>
  </w:style>
  <w:style w:type="paragraph" w:customStyle="1" w:styleId="naisf">
    <w:name w:val="naisf"/>
    <w:basedOn w:val="Normal"/>
    <w:rsid w:val="00531DF4"/>
    <w:pPr>
      <w:spacing w:before="75" w:after="75"/>
      <w:ind w:firstLine="375"/>
      <w:jc w:val="both"/>
    </w:pPr>
  </w:style>
  <w:style w:type="character" w:customStyle="1" w:styleId="hps">
    <w:name w:val="hps"/>
    <w:rsid w:val="00531DF4"/>
  </w:style>
  <w:style w:type="paragraph" w:styleId="BodyTextIndent3">
    <w:name w:val="Body Text Indent 3"/>
    <w:basedOn w:val="Normal"/>
    <w:link w:val="BodyTextIndent3Char"/>
    <w:rsid w:val="00251303"/>
    <w:pPr>
      <w:spacing w:after="120"/>
      <w:ind w:left="283"/>
    </w:pPr>
    <w:rPr>
      <w:sz w:val="16"/>
      <w:szCs w:val="16"/>
    </w:rPr>
  </w:style>
  <w:style w:type="character" w:customStyle="1" w:styleId="BodyTextIndent3Char">
    <w:name w:val="Body Text Indent 3 Char"/>
    <w:link w:val="BodyTextIndent3"/>
    <w:semiHidden/>
    <w:locked/>
    <w:rsid w:val="0054572A"/>
    <w:rPr>
      <w:rFonts w:cs="Times New Roman"/>
      <w:sz w:val="16"/>
      <w:szCs w:val="16"/>
    </w:rPr>
  </w:style>
  <w:style w:type="paragraph" w:customStyle="1" w:styleId="CM4">
    <w:name w:val="CM4"/>
    <w:basedOn w:val="Normal"/>
    <w:next w:val="Normal"/>
    <w:rsid w:val="00251303"/>
    <w:pPr>
      <w:autoSpaceDE w:val="0"/>
      <w:autoSpaceDN w:val="0"/>
      <w:adjustRightInd w:val="0"/>
    </w:pPr>
    <w:rPr>
      <w:rFonts w:ascii="EUAlbertina" w:hAnsi="EUAlbertina"/>
    </w:rPr>
  </w:style>
  <w:style w:type="paragraph" w:customStyle="1" w:styleId="T12RB">
    <w:name w:val="T 12 RB"/>
    <w:basedOn w:val="Normal"/>
    <w:rsid w:val="006672DC"/>
    <w:pPr>
      <w:keepLines/>
      <w:widowControl w:val="0"/>
      <w:autoSpaceDE w:val="0"/>
      <w:autoSpaceDN w:val="0"/>
      <w:adjustRightInd w:val="0"/>
      <w:jc w:val="right"/>
    </w:pPr>
    <w:rPr>
      <w:rFonts w:ascii="Arial" w:hAnsi="Arial"/>
    </w:rPr>
  </w:style>
  <w:style w:type="paragraph" w:customStyle="1" w:styleId="naisc">
    <w:name w:val="naisc"/>
    <w:basedOn w:val="Normal"/>
    <w:rsid w:val="0037478A"/>
    <w:pPr>
      <w:spacing w:before="75" w:after="75"/>
      <w:jc w:val="center"/>
    </w:pPr>
  </w:style>
  <w:style w:type="character" w:styleId="Emphasis">
    <w:name w:val="Emphasis"/>
    <w:qFormat/>
    <w:rsid w:val="0037478A"/>
    <w:rPr>
      <w:rFonts w:cs="Times New Roman"/>
      <w:i/>
    </w:rPr>
  </w:style>
  <w:style w:type="paragraph" w:styleId="BalloonText">
    <w:name w:val="Balloon Text"/>
    <w:basedOn w:val="Normal"/>
    <w:link w:val="BalloonTextChar"/>
    <w:rsid w:val="00760EFC"/>
    <w:rPr>
      <w:rFonts w:ascii="Tahoma" w:hAnsi="Tahoma" w:cs="Tahoma"/>
      <w:sz w:val="16"/>
      <w:szCs w:val="16"/>
    </w:rPr>
  </w:style>
  <w:style w:type="character" w:customStyle="1" w:styleId="BalloonTextChar">
    <w:name w:val="Balloon Text Char"/>
    <w:link w:val="BalloonText"/>
    <w:locked/>
    <w:rsid w:val="007A74E9"/>
    <w:rPr>
      <w:rFonts w:cs="Times New Roman"/>
      <w:sz w:val="2"/>
    </w:rPr>
  </w:style>
  <w:style w:type="paragraph" w:styleId="TOCHeading">
    <w:name w:val="TOC Heading"/>
    <w:basedOn w:val="Heading1"/>
    <w:next w:val="Normal"/>
    <w:uiPriority w:val="39"/>
    <w:qFormat/>
    <w:rsid w:val="0077509D"/>
    <w:pPr>
      <w:keepLines/>
      <w:spacing w:before="480" w:after="0" w:line="276" w:lineRule="auto"/>
      <w:outlineLvl w:val="9"/>
    </w:pPr>
    <w:rPr>
      <w:rFonts w:ascii="Cambria" w:hAnsi="Cambria" w:cs="Times New Roman"/>
      <w:color w:val="365F91"/>
      <w:kern w:val="0"/>
      <w:sz w:val="28"/>
      <w:szCs w:val="28"/>
      <w:lang w:val="en-US" w:eastAsia="ja-JP"/>
    </w:rPr>
  </w:style>
  <w:style w:type="paragraph" w:styleId="TOC4">
    <w:name w:val="toc 4"/>
    <w:basedOn w:val="Normal"/>
    <w:next w:val="Normal"/>
    <w:autoRedefine/>
    <w:rsid w:val="0077509D"/>
    <w:rPr>
      <w:rFonts w:ascii="Calibri" w:hAnsi="Calibri" w:cs="Calibri"/>
      <w:sz w:val="22"/>
      <w:szCs w:val="22"/>
    </w:rPr>
  </w:style>
  <w:style w:type="paragraph" w:styleId="TOC6">
    <w:name w:val="toc 6"/>
    <w:basedOn w:val="Normal"/>
    <w:next w:val="Normal"/>
    <w:autoRedefine/>
    <w:rsid w:val="0077509D"/>
    <w:rPr>
      <w:rFonts w:ascii="Calibri" w:hAnsi="Calibri" w:cs="Calibri"/>
      <w:sz w:val="22"/>
      <w:szCs w:val="22"/>
    </w:rPr>
  </w:style>
  <w:style w:type="paragraph" w:styleId="TOC7">
    <w:name w:val="toc 7"/>
    <w:basedOn w:val="Normal"/>
    <w:next w:val="Normal"/>
    <w:autoRedefine/>
    <w:rsid w:val="0077509D"/>
    <w:rPr>
      <w:rFonts w:ascii="Calibri" w:hAnsi="Calibri" w:cs="Calibri"/>
      <w:sz w:val="22"/>
      <w:szCs w:val="22"/>
    </w:rPr>
  </w:style>
  <w:style w:type="paragraph" w:styleId="TOC8">
    <w:name w:val="toc 8"/>
    <w:basedOn w:val="Normal"/>
    <w:next w:val="Normal"/>
    <w:autoRedefine/>
    <w:rsid w:val="0077509D"/>
    <w:rPr>
      <w:rFonts w:ascii="Calibri" w:hAnsi="Calibri" w:cs="Calibri"/>
      <w:sz w:val="22"/>
      <w:szCs w:val="22"/>
    </w:rPr>
  </w:style>
  <w:style w:type="paragraph" w:styleId="TOC9">
    <w:name w:val="toc 9"/>
    <w:basedOn w:val="Normal"/>
    <w:next w:val="Normal"/>
    <w:autoRedefine/>
    <w:rsid w:val="0077509D"/>
    <w:rPr>
      <w:rFonts w:ascii="Calibri" w:hAnsi="Calibri" w:cs="Calibri"/>
      <w:sz w:val="22"/>
      <w:szCs w:val="22"/>
    </w:rPr>
  </w:style>
  <w:style w:type="paragraph" w:styleId="ListParagraph">
    <w:name w:val="List Paragraph"/>
    <w:basedOn w:val="Normal"/>
    <w:uiPriority w:val="34"/>
    <w:qFormat/>
    <w:rsid w:val="002D7941"/>
    <w:pPr>
      <w:ind w:left="720"/>
      <w:contextualSpacing/>
    </w:pPr>
  </w:style>
  <w:style w:type="numbering" w:customStyle="1" w:styleId="Style1">
    <w:name w:val="Style1"/>
    <w:rsid w:val="00434B2F"/>
    <w:pPr>
      <w:numPr>
        <w:numId w:val="2"/>
      </w:numPr>
    </w:pPr>
  </w:style>
  <w:style w:type="paragraph" w:customStyle="1" w:styleId="RakstzRakstz0">
    <w:name w:val="Rakstz. Rakstz."/>
    <w:basedOn w:val="Normal"/>
    <w:rsid w:val="002838F2"/>
    <w:rPr>
      <w:lang w:val="pl-PL" w:eastAsia="pl-PL"/>
    </w:rPr>
  </w:style>
  <w:style w:type="character" w:customStyle="1" w:styleId="PamattekstsRakstzCharChar">
    <w:name w:val="Pamatteksts Rakstz. Char Char"/>
    <w:rsid w:val="002838F2"/>
    <w:rPr>
      <w:sz w:val="28"/>
      <w:lang w:val="ru-RU" w:eastAsia="en-US" w:bidi="ar-SA"/>
    </w:rPr>
  </w:style>
  <w:style w:type="character" w:styleId="CommentReference">
    <w:name w:val="annotation reference"/>
    <w:semiHidden/>
    <w:locked/>
    <w:rsid w:val="002838F2"/>
    <w:rPr>
      <w:sz w:val="16"/>
      <w:szCs w:val="16"/>
    </w:rPr>
  </w:style>
  <w:style w:type="paragraph" w:styleId="CommentSubject">
    <w:name w:val="annotation subject"/>
    <w:basedOn w:val="CommentText"/>
    <w:next w:val="CommentText"/>
    <w:link w:val="CommentSubjectChar"/>
    <w:semiHidden/>
    <w:locked/>
    <w:rsid w:val="002838F2"/>
    <w:rPr>
      <w:b/>
      <w:bCs/>
    </w:rPr>
  </w:style>
  <w:style w:type="character" w:customStyle="1" w:styleId="CharChar">
    <w:name w:val="Char Char"/>
    <w:rsid w:val="002838F2"/>
    <w:rPr>
      <w:sz w:val="24"/>
      <w:lang w:val="en-GB" w:eastAsia="en-US" w:bidi="ar-SA"/>
    </w:rPr>
  </w:style>
  <w:style w:type="paragraph" w:customStyle="1" w:styleId="Default">
    <w:name w:val="Default"/>
    <w:rsid w:val="002838F2"/>
    <w:pPr>
      <w:autoSpaceDE w:val="0"/>
      <w:autoSpaceDN w:val="0"/>
      <w:adjustRightInd w:val="0"/>
    </w:pPr>
    <w:rPr>
      <w:color w:val="000000"/>
      <w:sz w:val="24"/>
      <w:szCs w:val="24"/>
    </w:rPr>
  </w:style>
  <w:style w:type="paragraph" w:customStyle="1" w:styleId="Pa3">
    <w:name w:val="Pa3"/>
    <w:basedOn w:val="Default"/>
    <w:next w:val="Default"/>
    <w:rsid w:val="002838F2"/>
    <w:pPr>
      <w:spacing w:line="241" w:lineRule="atLeast"/>
    </w:pPr>
    <w:rPr>
      <w:color w:val="auto"/>
    </w:rPr>
  </w:style>
  <w:style w:type="character" w:customStyle="1" w:styleId="CharChar2">
    <w:name w:val="Char Char2"/>
    <w:rsid w:val="002838F2"/>
    <w:rPr>
      <w:b/>
      <w:bCs/>
      <w:i/>
      <w:iCs/>
      <w:sz w:val="26"/>
      <w:szCs w:val="26"/>
      <w:lang w:val="lv-LV" w:eastAsia="lv-LV" w:bidi="ar-SA"/>
    </w:rPr>
  </w:style>
  <w:style w:type="table" w:customStyle="1" w:styleId="TableGrid1">
    <w:name w:val="Table Grid1"/>
    <w:basedOn w:val="TableNormal"/>
    <w:next w:val="TableGrid"/>
    <w:rsid w:val="0003413B"/>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
    <w:name w:val="Char Char1 Char"/>
    <w:basedOn w:val="Normal"/>
    <w:rsid w:val="00DA5AA2"/>
    <w:pPr>
      <w:spacing w:after="160" w:line="240" w:lineRule="exact"/>
    </w:pPr>
    <w:rPr>
      <w:rFonts w:ascii="Tahoma" w:eastAsia="MS Mincho" w:hAnsi="Tahoma"/>
      <w:sz w:val="20"/>
      <w:szCs w:val="20"/>
      <w:lang w:val="en-US" w:eastAsia="en-US"/>
    </w:rPr>
  </w:style>
  <w:style w:type="table" w:styleId="MediumList1-Accent5">
    <w:name w:val="Medium List 1 Accent 5"/>
    <w:basedOn w:val="TableNormal"/>
    <w:uiPriority w:val="65"/>
    <w:rsid w:val="000115A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CharChar1Char0">
    <w:name w:val="Char Char1 Char"/>
    <w:basedOn w:val="Normal"/>
    <w:rsid w:val="006F319C"/>
    <w:pPr>
      <w:spacing w:after="160" w:line="240" w:lineRule="exact"/>
    </w:pPr>
    <w:rPr>
      <w:rFonts w:ascii="Tahoma" w:eastAsia="MS Mincho" w:hAnsi="Tahoma"/>
      <w:sz w:val="20"/>
      <w:szCs w:val="20"/>
      <w:lang w:val="en-US" w:eastAsia="en-US"/>
    </w:rPr>
  </w:style>
  <w:style w:type="character" w:customStyle="1" w:styleId="BodyTextChar1">
    <w:name w:val="Body Text Char1"/>
    <w:aliases w:val="Pamatteksts Rakstz. Char1"/>
    <w:basedOn w:val="DefaultParagraphFont"/>
    <w:semiHidden/>
    <w:rsid w:val="00164A4B"/>
    <w:rPr>
      <w:sz w:val="24"/>
      <w:szCs w:val="24"/>
    </w:rPr>
  </w:style>
  <w:style w:type="character" w:customStyle="1" w:styleId="CommentSubjectChar">
    <w:name w:val="Comment Subject Char"/>
    <w:basedOn w:val="CommentTextChar"/>
    <w:link w:val="CommentSubject"/>
    <w:semiHidden/>
    <w:rsid w:val="00164A4B"/>
    <w:rPr>
      <w:rFonts w:cs="Times New Roman"/>
      <w:b/>
      <w:bCs/>
    </w:rPr>
  </w:style>
  <w:style w:type="paragraph" w:customStyle="1" w:styleId="Teksts1">
    <w:name w:val="Teksts1"/>
    <w:basedOn w:val="Normal"/>
    <w:rsid w:val="00164A4B"/>
    <w:pPr>
      <w:spacing w:after="320"/>
      <w:jc w:val="both"/>
    </w:pPr>
    <w:rPr>
      <w:szCs w:val="20"/>
      <w:lang w:eastAsia="en-US"/>
    </w:rPr>
  </w:style>
  <w:style w:type="paragraph" w:customStyle="1" w:styleId="Char">
    <w:name w:val="Char"/>
    <w:basedOn w:val="Normal"/>
    <w:rsid w:val="00324E38"/>
    <w:pPr>
      <w:spacing w:after="160" w:line="240" w:lineRule="exact"/>
    </w:pPr>
    <w:rPr>
      <w:rFonts w:ascii="Tahoma" w:hAnsi="Tahoma"/>
      <w:sz w:val="20"/>
      <w:szCs w:val="20"/>
      <w:lang w:val="en-US" w:eastAsia="en-US"/>
    </w:rPr>
  </w:style>
  <w:style w:type="paragraph" w:customStyle="1" w:styleId="CharChar1Char1">
    <w:name w:val="Char Char1 Char"/>
    <w:basedOn w:val="Normal"/>
    <w:rsid w:val="00C41FBA"/>
    <w:pPr>
      <w:spacing w:after="160" w:line="240" w:lineRule="exact"/>
    </w:pPr>
    <w:rPr>
      <w:rFonts w:ascii="Tahoma" w:eastAsia="MS Mincho" w:hAnsi="Tahoma"/>
      <w:sz w:val="20"/>
      <w:szCs w:val="20"/>
      <w:lang w:val="en-US" w:eastAsia="en-US"/>
    </w:rPr>
  </w:style>
  <w:style w:type="paragraph" w:customStyle="1" w:styleId="Style2">
    <w:name w:val="Style2"/>
    <w:basedOn w:val="Normal"/>
    <w:link w:val="Style2Char"/>
    <w:qFormat/>
    <w:rsid w:val="00974655"/>
    <w:pPr>
      <w:widowControl w:val="0"/>
      <w:spacing w:before="120"/>
      <w:jc w:val="center"/>
    </w:pPr>
    <w:rPr>
      <w:rFonts w:asciiTheme="minorHAnsi" w:hAnsiTheme="minorHAnsi"/>
      <w:color w:val="4A442A" w:themeColor="background2" w:themeShade="40"/>
      <w:sz w:val="44"/>
    </w:rPr>
  </w:style>
  <w:style w:type="paragraph" w:customStyle="1" w:styleId="virsraksts">
    <w:name w:val="virsraksts"/>
    <w:basedOn w:val="Style2"/>
    <w:link w:val="virsrakstsChar"/>
    <w:qFormat/>
    <w:rsid w:val="00E351E5"/>
  </w:style>
  <w:style w:type="character" w:customStyle="1" w:styleId="Style2Char">
    <w:name w:val="Style2 Char"/>
    <w:basedOn w:val="DefaultParagraphFont"/>
    <w:link w:val="Style2"/>
    <w:rsid w:val="00974655"/>
    <w:rPr>
      <w:rFonts w:asciiTheme="minorHAnsi" w:hAnsiTheme="minorHAnsi"/>
      <w:color w:val="4A442A" w:themeColor="background2" w:themeShade="40"/>
      <w:sz w:val="44"/>
      <w:szCs w:val="24"/>
    </w:rPr>
  </w:style>
  <w:style w:type="character" w:customStyle="1" w:styleId="virsrakstsChar">
    <w:name w:val="virsraksts Char"/>
    <w:basedOn w:val="Style2Char"/>
    <w:link w:val="virsraksts"/>
    <w:rsid w:val="00E351E5"/>
    <w:rPr>
      <w:rFonts w:asciiTheme="minorHAnsi" w:hAnsiTheme="minorHAnsi"/>
      <w:color w:val="4A442A" w:themeColor="background2" w:themeShade="40"/>
      <w:sz w:val="44"/>
      <w:szCs w:val="24"/>
    </w:rPr>
  </w:style>
  <w:style w:type="paragraph" w:customStyle="1" w:styleId="grafikiem">
    <w:name w:val="grafikiem"/>
    <w:basedOn w:val="Normal"/>
    <w:link w:val="grafikiemChar"/>
    <w:qFormat/>
    <w:rsid w:val="00C73BFD"/>
    <w:pPr>
      <w:widowControl w:val="0"/>
      <w:spacing w:before="120"/>
      <w:jc w:val="both"/>
    </w:pPr>
    <w:rPr>
      <w:rFonts w:asciiTheme="minorHAnsi" w:hAnsiTheme="minorHAnsi"/>
      <w:i/>
      <w:color w:val="943634" w:themeColor="accent2" w:themeShade="BF"/>
    </w:rPr>
  </w:style>
  <w:style w:type="character" w:styleId="SubtleReference">
    <w:name w:val="Subtle Reference"/>
    <w:basedOn w:val="DefaultParagraphFont"/>
    <w:uiPriority w:val="31"/>
    <w:qFormat/>
    <w:rsid w:val="00591964"/>
    <w:rPr>
      <w:smallCaps/>
      <w:color w:val="C0504D" w:themeColor="accent2"/>
      <w:u w:val="single"/>
    </w:rPr>
  </w:style>
  <w:style w:type="character" w:customStyle="1" w:styleId="grafikiemChar">
    <w:name w:val="grafikiem Char"/>
    <w:basedOn w:val="DefaultParagraphFont"/>
    <w:link w:val="grafikiem"/>
    <w:rsid w:val="00C73BFD"/>
    <w:rPr>
      <w:rFonts w:asciiTheme="minorHAnsi" w:hAnsiTheme="minorHAnsi"/>
      <w:i/>
      <w:color w:val="943634" w:themeColor="accent2" w:themeShade="BF"/>
      <w:sz w:val="24"/>
      <w:szCs w:val="24"/>
    </w:rPr>
  </w:style>
  <w:style w:type="character" w:styleId="SubtleEmphasis">
    <w:name w:val="Subtle Emphasis"/>
    <w:basedOn w:val="DefaultParagraphFont"/>
    <w:uiPriority w:val="19"/>
    <w:qFormat/>
    <w:rsid w:val="00591964"/>
    <w:rPr>
      <w:i/>
      <w:iCs/>
      <w:color w:val="808080" w:themeColor="text1" w:themeTint="7F"/>
    </w:rPr>
  </w:style>
  <w:style w:type="paragraph" w:styleId="NoSpacing">
    <w:name w:val="No Spacing"/>
    <w:uiPriority w:val="1"/>
    <w:qFormat/>
    <w:rsid w:val="00591964"/>
    <w:rPr>
      <w:sz w:val="24"/>
      <w:szCs w:val="24"/>
    </w:rPr>
  </w:style>
  <w:style w:type="character" w:styleId="PlaceholderText">
    <w:name w:val="Placeholder Text"/>
    <w:basedOn w:val="DefaultParagraphFont"/>
    <w:uiPriority w:val="99"/>
    <w:semiHidden/>
    <w:rsid w:val="00F76AD6"/>
    <w:rPr>
      <w:color w:val="808080"/>
    </w:rPr>
  </w:style>
  <w:style w:type="paragraph" w:customStyle="1" w:styleId="Char0">
    <w:name w:val="Char"/>
    <w:basedOn w:val="Normal"/>
    <w:rsid w:val="00CC371C"/>
    <w:pPr>
      <w:spacing w:after="160" w:line="240" w:lineRule="exact"/>
    </w:pPr>
    <w:rPr>
      <w:rFonts w:ascii="Tahoma" w:hAnsi="Tahoma"/>
      <w:sz w:val="20"/>
      <w:szCs w:val="20"/>
      <w:lang w:val="en-US" w:eastAsia="en-US"/>
    </w:rPr>
  </w:style>
  <w:style w:type="paragraph" w:customStyle="1" w:styleId="CharChar1Char2">
    <w:name w:val="Char Char1 Char"/>
    <w:basedOn w:val="Normal"/>
    <w:rsid w:val="005C155C"/>
    <w:pPr>
      <w:spacing w:after="160" w:line="240" w:lineRule="exact"/>
    </w:pPr>
    <w:rPr>
      <w:rFonts w:ascii="Tahoma" w:eastAsia="MS Mincho" w:hAnsi="Tahoma"/>
      <w:sz w:val="20"/>
      <w:szCs w:val="20"/>
      <w:lang w:val="en-US" w:eastAsia="en-US"/>
    </w:rPr>
  </w:style>
  <w:style w:type="character" w:styleId="FollowedHyperlink">
    <w:name w:val="FollowedHyperlink"/>
    <w:basedOn w:val="DefaultParagraphFont"/>
    <w:locked/>
    <w:rsid w:val="007C01B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775999"/>
    <w:rPr>
      <w:sz w:val="24"/>
      <w:szCs w:val="24"/>
    </w:rPr>
  </w:style>
  <w:style w:type="paragraph" w:styleId="Heading1">
    <w:name w:val="heading 1"/>
    <w:aliases w:val="Virsraksts 1 Rakstz. Rakstz."/>
    <w:basedOn w:val="Normal"/>
    <w:next w:val="Normal"/>
    <w:link w:val="Heading1Char"/>
    <w:qFormat/>
    <w:rsid w:val="0077599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759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31D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31DF4"/>
    <w:pPr>
      <w:keepNext/>
      <w:spacing w:before="240" w:after="60"/>
      <w:outlineLvl w:val="3"/>
    </w:pPr>
    <w:rPr>
      <w:b/>
      <w:bCs/>
      <w:sz w:val="28"/>
      <w:szCs w:val="28"/>
    </w:rPr>
  </w:style>
  <w:style w:type="paragraph" w:styleId="Heading5">
    <w:name w:val="heading 5"/>
    <w:basedOn w:val="Normal"/>
    <w:next w:val="Normal"/>
    <w:link w:val="Heading5Char"/>
    <w:qFormat/>
    <w:rsid w:val="00531DF4"/>
    <w:pPr>
      <w:spacing w:before="240" w:after="60"/>
      <w:outlineLvl w:val="4"/>
    </w:pPr>
    <w:rPr>
      <w:b/>
      <w:bCs/>
      <w:i/>
      <w:iCs/>
      <w:sz w:val="26"/>
      <w:szCs w:val="26"/>
    </w:rPr>
  </w:style>
  <w:style w:type="paragraph" w:styleId="Heading6">
    <w:name w:val="heading 6"/>
    <w:basedOn w:val="Normal"/>
    <w:next w:val="Normal"/>
    <w:link w:val="Heading6Char"/>
    <w:qFormat/>
    <w:rsid w:val="00A93BE3"/>
    <w:pPr>
      <w:spacing w:before="240" w:after="60"/>
      <w:outlineLvl w:val="5"/>
    </w:pPr>
    <w:rPr>
      <w:b/>
      <w:bCs/>
      <w:sz w:val="22"/>
      <w:szCs w:val="22"/>
    </w:rPr>
  </w:style>
  <w:style w:type="paragraph" w:styleId="Heading7">
    <w:name w:val="heading 7"/>
    <w:basedOn w:val="Normal"/>
    <w:next w:val="Normal"/>
    <w:link w:val="Heading7Char"/>
    <w:qFormat/>
    <w:rsid w:val="00A93BE3"/>
    <w:pPr>
      <w:spacing w:before="240" w:after="60"/>
      <w:outlineLvl w:val="6"/>
    </w:pPr>
  </w:style>
  <w:style w:type="paragraph" w:styleId="Heading8">
    <w:name w:val="heading 8"/>
    <w:basedOn w:val="Normal"/>
    <w:next w:val="Normal"/>
    <w:link w:val="Heading8Char"/>
    <w:qFormat/>
    <w:rsid w:val="00A93BE3"/>
    <w:pPr>
      <w:spacing w:before="240" w:after="60"/>
      <w:outlineLvl w:val="7"/>
    </w:pPr>
    <w:rPr>
      <w:i/>
      <w:iCs/>
    </w:rPr>
  </w:style>
  <w:style w:type="paragraph" w:styleId="Heading9">
    <w:name w:val="heading 9"/>
    <w:basedOn w:val="Normal"/>
    <w:next w:val="Normal"/>
    <w:link w:val="Heading9Char"/>
    <w:qFormat/>
    <w:rsid w:val="00A93BE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irsraksts 1 Rakstz. Rakstz. Char"/>
    <w:link w:val="Heading1"/>
    <w:locked/>
    <w:rsid w:val="00775999"/>
    <w:rPr>
      <w:rFonts w:ascii="Arial" w:hAnsi="Arial" w:cs="Times New Roman"/>
      <w:b/>
      <w:kern w:val="32"/>
      <w:sz w:val="32"/>
      <w:lang w:val="lv-LV" w:eastAsia="lv-LV"/>
    </w:rPr>
  </w:style>
  <w:style w:type="character" w:customStyle="1" w:styleId="Heading2Char">
    <w:name w:val="Heading 2 Char"/>
    <w:link w:val="Heading2"/>
    <w:semiHidden/>
    <w:locked/>
    <w:rsid w:val="0054572A"/>
    <w:rPr>
      <w:rFonts w:ascii="Cambria" w:hAnsi="Cambria" w:cs="Times New Roman"/>
      <w:b/>
      <w:bCs/>
      <w:i/>
      <w:iCs/>
      <w:sz w:val="28"/>
      <w:szCs w:val="28"/>
    </w:rPr>
  </w:style>
  <w:style w:type="character" w:customStyle="1" w:styleId="Heading3Char">
    <w:name w:val="Heading 3 Char"/>
    <w:link w:val="Heading3"/>
    <w:semiHidden/>
    <w:locked/>
    <w:rsid w:val="0054572A"/>
    <w:rPr>
      <w:rFonts w:ascii="Cambria" w:hAnsi="Cambria" w:cs="Times New Roman"/>
      <w:b/>
      <w:bCs/>
      <w:sz w:val="26"/>
      <w:szCs w:val="26"/>
    </w:rPr>
  </w:style>
  <w:style w:type="character" w:customStyle="1" w:styleId="Heading4Char">
    <w:name w:val="Heading 4 Char"/>
    <w:link w:val="Heading4"/>
    <w:semiHidden/>
    <w:locked/>
    <w:rsid w:val="0054572A"/>
    <w:rPr>
      <w:rFonts w:ascii="Calibri" w:hAnsi="Calibri" w:cs="Times New Roman"/>
      <w:b/>
      <w:bCs/>
      <w:sz w:val="28"/>
      <w:szCs w:val="28"/>
    </w:rPr>
  </w:style>
  <w:style w:type="character" w:customStyle="1" w:styleId="Heading5Char">
    <w:name w:val="Heading 5 Char"/>
    <w:link w:val="Heading5"/>
    <w:semiHidden/>
    <w:locked/>
    <w:rsid w:val="0054572A"/>
    <w:rPr>
      <w:rFonts w:ascii="Calibri" w:hAnsi="Calibri" w:cs="Times New Roman"/>
      <w:b/>
      <w:bCs/>
      <w:i/>
      <w:iCs/>
      <w:sz w:val="26"/>
      <w:szCs w:val="26"/>
    </w:rPr>
  </w:style>
  <w:style w:type="character" w:customStyle="1" w:styleId="Heading6Char">
    <w:name w:val="Heading 6 Char"/>
    <w:link w:val="Heading6"/>
    <w:semiHidden/>
    <w:locked/>
    <w:rsid w:val="0054572A"/>
    <w:rPr>
      <w:rFonts w:ascii="Calibri" w:hAnsi="Calibri" w:cs="Times New Roman"/>
      <w:b/>
      <w:bCs/>
      <w:sz w:val="22"/>
      <w:szCs w:val="22"/>
    </w:rPr>
  </w:style>
  <w:style w:type="character" w:customStyle="1" w:styleId="Heading7Char">
    <w:name w:val="Heading 7 Char"/>
    <w:link w:val="Heading7"/>
    <w:semiHidden/>
    <w:locked/>
    <w:rsid w:val="0054572A"/>
    <w:rPr>
      <w:rFonts w:ascii="Calibri" w:hAnsi="Calibri" w:cs="Times New Roman"/>
      <w:sz w:val="24"/>
      <w:szCs w:val="24"/>
    </w:rPr>
  </w:style>
  <w:style w:type="character" w:customStyle="1" w:styleId="Heading8Char">
    <w:name w:val="Heading 8 Char"/>
    <w:link w:val="Heading8"/>
    <w:semiHidden/>
    <w:locked/>
    <w:rsid w:val="0054572A"/>
    <w:rPr>
      <w:rFonts w:ascii="Calibri" w:hAnsi="Calibri" w:cs="Times New Roman"/>
      <w:i/>
      <w:iCs/>
      <w:sz w:val="24"/>
      <w:szCs w:val="24"/>
    </w:rPr>
  </w:style>
  <w:style w:type="character" w:customStyle="1" w:styleId="Heading9Char">
    <w:name w:val="Heading 9 Char"/>
    <w:link w:val="Heading9"/>
    <w:semiHidden/>
    <w:locked/>
    <w:rsid w:val="0054572A"/>
    <w:rPr>
      <w:rFonts w:ascii="Cambria" w:hAnsi="Cambria" w:cs="Times New Roman"/>
      <w:sz w:val="22"/>
      <w:szCs w:val="22"/>
    </w:rPr>
  </w:style>
  <w:style w:type="paragraph" w:styleId="TOC1">
    <w:name w:val="toc 1"/>
    <w:basedOn w:val="Normal"/>
    <w:next w:val="Normal"/>
    <w:autoRedefine/>
    <w:uiPriority w:val="39"/>
    <w:qFormat/>
    <w:rsid w:val="00775999"/>
    <w:pPr>
      <w:spacing w:before="360" w:after="360"/>
    </w:pPr>
    <w:rPr>
      <w:rFonts w:ascii="Calibri" w:hAnsi="Calibri" w:cs="Calibri"/>
      <w:b/>
      <w:bCs/>
      <w:caps/>
      <w:sz w:val="22"/>
      <w:szCs w:val="22"/>
      <w:u w:val="single"/>
    </w:rPr>
  </w:style>
  <w:style w:type="paragraph" w:styleId="TOC2">
    <w:name w:val="toc 2"/>
    <w:basedOn w:val="Normal"/>
    <w:next w:val="Normal"/>
    <w:autoRedefine/>
    <w:uiPriority w:val="39"/>
    <w:qFormat/>
    <w:rsid w:val="00775999"/>
    <w:rPr>
      <w:rFonts w:ascii="Calibri" w:hAnsi="Calibri" w:cs="Calibri"/>
      <w:b/>
      <w:bCs/>
      <w:smallCaps/>
      <w:sz w:val="22"/>
      <w:szCs w:val="22"/>
    </w:rPr>
  </w:style>
  <w:style w:type="paragraph" w:styleId="TOC3">
    <w:name w:val="toc 3"/>
    <w:basedOn w:val="Normal"/>
    <w:next w:val="Normal"/>
    <w:autoRedefine/>
    <w:uiPriority w:val="39"/>
    <w:qFormat/>
    <w:rsid w:val="003B3716"/>
    <w:pPr>
      <w:tabs>
        <w:tab w:val="right" w:pos="9108"/>
      </w:tabs>
    </w:pPr>
    <w:rPr>
      <w:rFonts w:ascii="Calibri" w:hAnsi="Calibri" w:cs="Calibri"/>
      <w:smallCaps/>
      <w:sz w:val="22"/>
      <w:szCs w:val="22"/>
    </w:rPr>
  </w:style>
  <w:style w:type="paragraph" w:styleId="TOC5">
    <w:name w:val="toc 5"/>
    <w:basedOn w:val="Normal"/>
    <w:next w:val="Normal"/>
    <w:autoRedefine/>
    <w:semiHidden/>
    <w:rsid w:val="00775999"/>
    <w:rPr>
      <w:rFonts w:ascii="Calibri" w:hAnsi="Calibri" w:cs="Calibri"/>
      <w:sz w:val="22"/>
      <w:szCs w:val="22"/>
    </w:rPr>
  </w:style>
  <w:style w:type="character" w:styleId="Hyperlink">
    <w:name w:val="Hyperlink"/>
    <w:uiPriority w:val="99"/>
    <w:rsid w:val="00775999"/>
    <w:rPr>
      <w:rFonts w:cs="Times New Roman"/>
      <w:color w:val="0000FF"/>
      <w:u w:val="single"/>
    </w:rPr>
  </w:style>
  <w:style w:type="paragraph" w:styleId="Footer">
    <w:name w:val="footer"/>
    <w:basedOn w:val="Normal"/>
    <w:link w:val="FooterChar"/>
    <w:rsid w:val="00775999"/>
    <w:pPr>
      <w:tabs>
        <w:tab w:val="center" w:pos="4153"/>
        <w:tab w:val="right" w:pos="8306"/>
      </w:tabs>
    </w:pPr>
    <w:rPr>
      <w:noProof/>
      <w:sz w:val="28"/>
      <w:szCs w:val="20"/>
      <w:lang w:eastAsia="en-US"/>
    </w:rPr>
  </w:style>
  <w:style w:type="character" w:customStyle="1" w:styleId="FooterChar">
    <w:name w:val="Footer Char"/>
    <w:link w:val="Footer"/>
    <w:semiHidden/>
    <w:locked/>
    <w:rsid w:val="0054572A"/>
    <w:rPr>
      <w:rFonts w:cs="Times New Roman"/>
      <w:sz w:val="24"/>
      <w:szCs w:val="24"/>
    </w:rPr>
  </w:style>
  <w:style w:type="character" w:styleId="PageNumber">
    <w:name w:val="page number"/>
    <w:rsid w:val="00775999"/>
    <w:rPr>
      <w:rFonts w:cs="Times New Roman"/>
    </w:rPr>
  </w:style>
  <w:style w:type="paragraph" w:styleId="BodyTextIndent2">
    <w:name w:val="Body Text Indent 2"/>
    <w:basedOn w:val="Normal"/>
    <w:link w:val="BodyTextIndent2Char"/>
    <w:rsid w:val="00775999"/>
    <w:pPr>
      <w:ind w:right="-21" w:firstLine="600"/>
      <w:jc w:val="both"/>
    </w:pPr>
    <w:rPr>
      <w:noProof/>
      <w:lang w:val="en-US"/>
    </w:rPr>
  </w:style>
  <w:style w:type="character" w:customStyle="1" w:styleId="BodyTextIndent2Char">
    <w:name w:val="Body Text Indent 2 Char"/>
    <w:link w:val="BodyTextIndent2"/>
    <w:locked/>
    <w:rsid w:val="00775999"/>
    <w:rPr>
      <w:rFonts w:cs="Times New Roman"/>
      <w:noProof/>
      <w:sz w:val="24"/>
      <w:lang w:val="en-US" w:eastAsia="lv-LV"/>
    </w:rPr>
  </w:style>
  <w:style w:type="paragraph" w:styleId="BodyTextIndent">
    <w:name w:val="Body Text Indent"/>
    <w:basedOn w:val="Normal"/>
    <w:link w:val="BodyTextIndentChar"/>
    <w:rsid w:val="00775999"/>
    <w:pPr>
      <w:spacing w:after="120"/>
      <w:ind w:left="283"/>
    </w:pPr>
  </w:style>
  <w:style w:type="character" w:customStyle="1" w:styleId="BodyTextIndentChar">
    <w:name w:val="Body Text Indent Char"/>
    <w:link w:val="BodyTextIndent"/>
    <w:semiHidden/>
    <w:locked/>
    <w:rsid w:val="0054572A"/>
    <w:rPr>
      <w:rFonts w:cs="Times New Roman"/>
      <w:sz w:val="24"/>
      <w:szCs w:val="24"/>
    </w:rPr>
  </w:style>
  <w:style w:type="paragraph" w:styleId="Header">
    <w:name w:val="header"/>
    <w:basedOn w:val="Normal"/>
    <w:link w:val="HeaderChar"/>
    <w:rsid w:val="00775999"/>
    <w:pPr>
      <w:tabs>
        <w:tab w:val="center" w:pos="4153"/>
        <w:tab w:val="right" w:pos="8306"/>
      </w:tabs>
    </w:pPr>
  </w:style>
  <w:style w:type="character" w:customStyle="1" w:styleId="HeaderChar">
    <w:name w:val="Header Char"/>
    <w:link w:val="Header"/>
    <w:semiHidden/>
    <w:locked/>
    <w:rsid w:val="0054572A"/>
    <w:rPr>
      <w:rFonts w:cs="Times New Roman"/>
      <w:sz w:val="24"/>
      <w:szCs w:val="24"/>
    </w:rPr>
  </w:style>
  <w:style w:type="paragraph" w:styleId="BodyText">
    <w:name w:val="Body Text"/>
    <w:aliases w:val="Pamatteksts Rakstz."/>
    <w:basedOn w:val="Normal"/>
    <w:link w:val="BodyTextChar"/>
    <w:rsid w:val="00775999"/>
    <w:pPr>
      <w:jc w:val="both"/>
    </w:pPr>
    <w:rPr>
      <w:sz w:val="28"/>
      <w:szCs w:val="20"/>
      <w:lang w:val="ru-RU" w:eastAsia="en-US"/>
    </w:rPr>
  </w:style>
  <w:style w:type="character" w:customStyle="1" w:styleId="BodyTextChar">
    <w:name w:val="Body Text Char"/>
    <w:aliases w:val="Pamatteksts Rakstz. Char"/>
    <w:link w:val="BodyText"/>
    <w:locked/>
    <w:rsid w:val="00775999"/>
    <w:rPr>
      <w:rFonts w:cs="Times New Roman"/>
      <w:sz w:val="28"/>
      <w:lang w:val="ru-RU" w:eastAsia="en-US"/>
    </w:rPr>
  </w:style>
  <w:style w:type="paragraph" w:styleId="BodyText2">
    <w:name w:val="Body Text 2"/>
    <w:basedOn w:val="Normal"/>
    <w:link w:val="BodyText2Char"/>
    <w:rsid w:val="00775999"/>
    <w:pPr>
      <w:spacing w:after="120" w:line="480" w:lineRule="auto"/>
    </w:pPr>
  </w:style>
  <w:style w:type="character" w:customStyle="1" w:styleId="BodyText2Char">
    <w:name w:val="Body Text 2 Char"/>
    <w:link w:val="BodyText2"/>
    <w:semiHidden/>
    <w:locked/>
    <w:rsid w:val="0054572A"/>
    <w:rPr>
      <w:rFonts w:cs="Times New Roman"/>
      <w:sz w:val="24"/>
      <w:szCs w:val="24"/>
    </w:rPr>
  </w:style>
  <w:style w:type="paragraph" w:styleId="BodyText3">
    <w:name w:val="Body Text 3"/>
    <w:basedOn w:val="Normal"/>
    <w:link w:val="BodyText3Char"/>
    <w:rsid w:val="00775999"/>
    <w:pPr>
      <w:spacing w:after="120"/>
    </w:pPr>
    <w:rPr>
      <w:sz w:val="16"/>
      <w:szCs w:val="16"/>
    </w:rPr>
  </w:style>
  <w:style w:type="character" w:customStyle="1" w:styleId="BodyText3Char">
    <w:name w:val="Body Text 3 Char"/>
    <w:link w:val="BodyText3"/>
    <w:semiHidden/>
    <w:locked/>
    <w:rsid w:val="0054572A"/>
    <w:rPr>
      <w:rFonts w:cs="Times New Roman"/>
      <w:sz w:val="16"/>
      <w:szCs w:val="16"/>
    </w:rPr>
  </w:style>
  <w:style w:type="paragraph" w:customStyle="1" w:styleId="RakstzRakstz">
    <w:name w:val="Rakstz. Rakstz."/>
    <w:basedOn w:val="Normal"/>
    <w:rsid w:val="00775999"/>
    <w:rPr>
      <w:lang w:val="pl-PL" w:eastAsia="pl-PL"/>
    </w:rPr>
  </w:style>
  <w:style w:type="paragraph" w:customStyle="1" w:styleId="StyleBodyJustifiedAfter0pt">
    <w:name w:val="Style Body + Justified After:  0 pt"/>
    <w:basedOn w:val="Normal"/>
    <w:rsid w:val="00775999"/>
    <w:pPr>
      <w:spacing w:before="200" w:after="200"/>
      <w:jc w:val="both"/>
    </w:pPr>
    <w:rPr>
      <w:rFonts w:ascii="Bookman Old Style" w:hAnsi="Bookman Old Style"/>
      <w:sz w:val="22"/>
    </w:rPr>
  </w:style>
  <w:style w:type="paragraph" w:styleId="NormalWeb">
    <w:name w:val="Normal (Web)"/>
    <w:basedOn w:val="Normal"/>
    <w:rsid w:val="00775999"/>
    <w:pPr>
      <w:spacing w:before="100" w:beforeAutospacing="1" w:after="100" w:afterAutospacing="1"/>
    </w:pPr>
  </w:style>
  <w:style w:type="character" w:customStyle="1" w:styleId="apple-style-span">
    <w:name w:val="apple-style-span"/>
    <w:rsid w:val="00775999"/>
    <w:rPr>
      <w:rFonts w:cs="Times New Roman"/>
    </w:rPr>
  </w:style>
  <w:style w:type="paragraph" w:styleId="Caption">
    <w:name w:val="caption"/>
    <w:basedOn w:val="Normal"/>
    <w:next w:val="Normal"/>
    <w:qFormat/>
    <w:rsid w:val="00531DF4"/>
    <w:pPr>
      <w:jc w:val="both"/>
    </w:pPr>
    <w:rPr>
      <w:b/>
      <w:i/>
      <w:sz w:val="28"/>
      <w:szCs w:val="20"/>
      <w:lang w:eastAsia="en-US"/>
    </w:rPr>
  </w:style>
  <w:style w:type="paragraph" w:customStyle="1" w:styleId="Teksts">
    <w:name w:val="Teksts"/>
    <w:basedOn w:val="Normal"/>
    <w:rsid w:val="00531DF4"/>
    <w:pPr>
      <w:spacing w:line="360" w:lineRule="auto"/>
      <w:ind w:firstLine="709"/>
      <w:jc w:val="both"/>
    </w:pPr>
    <w:rPr>
      <w:iCs/>
    </w:rPr>
  </w:style>
  <w:style w:type="character" w:styleId="Strong">
    <w:name w:val="Strong"/>
    <w:qFormat/>
    <w:rsid w:val="00531DF4"/>
    <w:rPr>
      <w:rFonts w:cs="Times New Roman"/>
      <w:b/>
    </w:rPr>
  </w:style>
  <w:style w:type="table" w:styleId="TableGrid">
    <w:name w:val="Table Grid"/>
    <w:basedOn w:val="TableNormal"/>
    <w:rsid w:val="00531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Subtitle"/>
    <w:link w:val="TitleChar"/>
    <w:qFormat/>
    <w:rsid w:val="00531DF4"/>
    <w:pPr>
      <w:suppressAutoHyphens/>
      <w:jc w:val="center"/>
    </w:pPr>
    <w:rPr>
      <w:rFonts w:ascii="CentSchbook TL" w:hAnsi="CentSchbook TL"/>
      <w:b/>
      <w:bCs/>
      <w:sz w:val="32"/>
      <w:lang w:eastAsia="ar-SA"/>
    </w:rPr>
  </w:style>
  <w:style w:type="character" w:customStyle="1" w:styleId="TitleChar">
    <w:name w:val="Title Char"/>
    <w:link w:val="Title"/>
    <w:locked/>
    <w:rsid w:val="0054572A"/>
    <w:rPr>
      <w:rFonts w:ascii="Cambria" w:hAnsi="Cambria" w:cs="Times New Roman"/>
      <w:b/>
      <w:bCs/>
      <w:kern w:val="28"/>
      <w:sz w:val="32"/>
      <w:szCs w:val="32"/>
    </w:rPr>
  </w:style>
  <w:style w:type="paragraph" w:styleId="Subtitle">
    <w:name w:val="Subtitle"/>
    <w:basedOn w:val="Normal"/>
    <w:link w:val="SubtitleChar"/>
    <w:qFormat/>
    <w:rsid w:val="00531DF4"/>
    <w:pPr>
      <w:spacing w:after="60"/>
      <w:jc w:val="center"/>
      <w:outlineLvl w:val="1"/>
    </w:pPr>
    <w:rPr>
      <w:rFonts w:ascii="Arial" w:hAnsi="Arial" w:cs="Arial"/>
    </w:rPr>
  </w:style>
  <w:style w:type="character" w:customStyle="1" w:styleId="SubtitleChar">
    <w:name w:val="Subtitle Char"/>
    <w:link w:val="Subtitle"/>
    <w:locked/>
    <w:rsid w:val="0054572A"/>
    <w:rPr>
      <w:rFonts w:ascii="Cambria" w:hAnsi="Cambria" w:cs="Times New Roman"/>
      <w:sz w:val="24"/>
      <w:szCs w:val="24"/>
    </w:rPr>
  </w:style>
  <w:style w:type="paragraph" w:styleId="CommentText">
    <w:name w:val="annotation text"/>
    <w:basedOn w:val="Normal"/>
    <w:link w:val="CommentTextChar"/>
    <w:semiHidden/>
    <w:rsid w:val="00531DF4"/>
    <w:rPr>
      <w:sz w:val="20"/>
      <w:szCs w:val="20"/>
    </w:rPr>
  </w:style>
  <w:style w:type="character" w:customStyle="1" w:styleId="CommentTextChar">
    <w:name w:val="Comment Text Char"/>
    <w:link w:val="CommentText"/>
    <w:semiHidden/>
    <w:locked/>
    <w:rsid w:val="0054572A"/>
    <w:rPr>
      <w:rFonts w:cs="Times New Roman"/>
    </w:rPr>
  </w:style>
  <w:style w:type="paragraph" w:customStyle="1" w:styleId="naisf">
    <w:name w:val="naisf"/>
    <w:basedOn w:val="Normal"/>
    <w:rsid w:val="00531DF4"/>
    <w:pPr>
      <w:spacing w:before="75" w:after="75"/>
      <w:ind w:firstLine="375"/>
      <w:jc w:val="both"/>
    </w:pPr>
  </w:style>
  <w:style w:type="character" w:customStyle="1" w:styleId="hps">
    <w:name w:val="hps"/>
    <w:rsid w:val="00531DF4"/>
  </w:style>
  <w:style w:type="paragraph" w:styleId="BodyTextIndent3">
    <w:name w:val="Body Text Indent 3"/>
    <w:basedOn w:val="Normal"/>
    <w:link w:val="BodyTextIndent3Char"/>
    <w:rsid w:val="00251303"/>
    <w:pPr>
      <w:spacing w:after="120"/>
      <w:ind w:left="283"/>
    </w:pPr>
    <w:rPr>
      <w:sz w:val="16"/>
      <w:szCs w:val="16"/>
    </w:rPr>
  </w:style>
  <w:style w:type="character" w:customStyle="1" w:styleId="BodyTextIndent3Char">
    <w:name w:val="Body Text Indent 3 Char"/>
    <w:link w:val="BodyTextIndent3"/>
    <w:semiHidden/>
    <w:locked/>
    <w:rsid w:val="0054572A"/>
    <w:rPr>
      <w:rFonts w:cs="Times New Roman"/>
      <w:sz w:val="16"/>
      <w:szCs w:val="16"/>
    </w:rPr>
  </w:style>
  <w:style w:type="paragraph" w:customStyle="1" w:styleId="CM4">
    <w:name w:val="CM4"/>
    <w:basedOn w:val="Normal"/>
    <w:next w:val="Normal"/>
    <w:rsid w:val="00251303"/>
    <w:pPr>
      <w:autoSpaceDE w:val="0"/>
      <w:autoSpaceDN w:val="0"/>
      <w:adjustRightInd w:val="0"/>
    </w:pPr>
    <w:rPr>
      <w:rFonts w:ascii="EUAlbertina" w:hAnsi="EUAlbertina"/>
    </w:rPr>
  </w:style>
  <w:style w:type="paragraph" w:customStyle="1" w:styleId="T12RB">
    <w:name w:val="T 12 RB"/>
    <w:basedOn w:val="Normal"/>
    <w:rsid w:val="006672DC"/>
    <w:pPr>
      <w:keepLines/>
      <w:widowControl w:val="0"/>
      <w:autoSpaceDE w:val="0"/>
      <w:autoSpaceDN w:val="0"/>
      <w:adjustRightInd w:val="0"/>
      <w:jc w:val="right"/>
    </w:pPr>
    <w:rPr>
      <w:rFonts w:ascii="Arial" w:hAnsi="Arial"/>
    </w:rPr>
  </w:style>
  <w:style w:type="paragraph" w:customStyle="1" w:styleId="naisc">
    <w:name w:val="naisc"/>
    <w:basedOn w:val="Normal"/>
    <w:rsid w:val="0037478A"/>
    <w:pPr>
      <w:spacing w:before="75" w:after="75"/>
      <w:jc w:val="center"/>
    </w:pPr>
  </w:style>
  <w:style w:type="character" w:styleId="Emphasis">
    <w:name w:val="Emphasis"/>
    <w:qFormat/>
    <w:rsid w:val="0037478A"/>
    <w:rPr>
      <w:rFonts w:cs="Times New Roman"/>
      <w:i/>
    </w:rPr>
  </w:style>
  <w:style w:type="paragraph" w:styleId="BalloonText">
    <w:name w:val="Balloon Text"/>
    <w:basedOn w:val="Normal"/>
    <w:link w:val="BalloonTextChar"/>
    <w:rsid w:val="00760EFC"/>
    <w:rPr>
      <w:rFonts w:ascii="Tahoma" w:hAnsi="Tahoma" w:cs="Tahoma"/>
      <w:sz w:val="16"/>
      <w:szCs w:val="16"/>
    </w:rPr>
  </w:style>
  <w:style w:type="character" w:customStyle="1" w:styleId="BalloonTextChar">
    <w:name w:val="Balloon Text Char"/>
    <w:link w:val="BalloonText"/>
    <w:locked/>
    <w:rsid w:val="007A74E9"/>
    <w:rPr>
      <w:rFonts w:cs="Times New Roman"/>
      <w:sz w:val="2"/>
    </w:rPr>
  </w:style>
  <w:style w:type="paragraph" w:styleId="TOCHeading">
    <w:name w:val="TOC Heading"/>
    <w:basedOn w:val="Heading1"/>
    <w:next w:val="Normal"/>
    <w:uiPriority w:val="39"/>
    <w:qFormat/>
    <w:rsid w:val="0077509D"/>
    <w:pPr>
      <w:keepLines/>
      <w:spacing w:before="480" w:after="0" w:line="276" w:lineRule="auto"/>
      <w:outlineLvl w:val="9"/>
    </w:pPr>
    <w:rPr>
      <w:rFonts w:ascii="Cambria" w:hAnsi="Cambria" w:cs="Times New Roman"/>
      <w:color w:val="365F91"/>
      <w:kern w:val="0"/>
      <w:sz w:val="28"/>
      <w:szCs w:val="28"/>
      <w:lang w:val="en-US" w:eastAsia="ja-JP"/>
    </w:rPr>
  </w:style>
  <w:style w:type="paragraph" w:styleId="TOC4">
    <w:name w:val="toc 4"/>
    <w:basedOn w:val="Normal"/>
    <w:next w:val="Normal"/>
    <w:autoRedefine/>
    <w:rsid w:val="0077509D"/>
    <w:rPr>
      <w:rFonts w:ascii="Calibri" w:hAnsi="Calibri" w:cs="Calibri"/>
      <w:sz w:val="22"/>
      <w:szCs w:val="22"/>
    </w:rPr>
  </w:style>
  <w:style w:type="paragraph" w:styleId="TOC6">
    <w:name w:val="toc 6"/>
    <w:basedOn w:val="Normal"/>
    <w:next w:val="Normal"/>
    <w:autoRedefine/>
    <w:rsid w:val="0077509D"/>
    <w:rPr>
      <w:rFonts w:ascii="Calibri" w:hAnsi="Calibri" w:cs="Calibri"/>
      <w:sz w:val="22"/>
      <w:szCs w:val="22"/>
    </w:rPr>
  </w:style>
  <w:style w:type="paragraph" w:styleId="TOC7">
    <w:name w:val="toc 7"/>
    <w:basedOn w:val="Normal"/>
    <w:next w:val="Normal"/>
    <w:autoRedefine/>
    <w:rsid w:val="0077509D"/>
    <w:rPr>
      <w:rFonts w:ascii="Calibri" w:hAnsi="Calibri" w:cs="Calibri"/>
      <w:sz w:val="22"/>
      <w:szCs w:val="22"/>
    </w:rPr>
  </w:style>
  <w:style w:type="paragraph" w:styleId="TOC8">
    <w:name w:val="toc 8"/>
    <w:basedOn w:val="Normal"/>
    <w:next w:val="Normal"/>
    <w:autoRedefine/>
    <w:rsid w:val="0077509D"/>
    <w:rPr>
      <w:rFonts w:ascii="Calibri" w:hAnsi="Calibri" w:cs="Calibri"/>
      <w:sz w:val="22"/>
      <w:szCs w:val="22"/>
    </w:rPr>
  </w:style>
  <w:style w:type="paragraph" w:styleId="TOC9">
    <w:name w:val="toc 9"/>
    <w:basedOn w:val="Normal"/>
    <w:next w:val="Normal"/>
    <w:autoRedefine/>
    <w:rsid w:val="0077509D"/>
    <w:rPr>
      <w:rFonts w:ascii="Calibri" w:hAnsi="Calibri" w:cs="Calibri"/>
      <w:sz w:val="22"/>
      <w:szCs w:val="22"/>
    </w:rPr>
  </w:style>
  <w:style w:type="paragraph" w:styleId="ListParagraph">
    <w:name w:val="List Paragraph"/>
    <w:basedOn w:val="Normal"/>
    <w:uiPriority w:val="34"/>
    <w:qFormat/>
    <w:rsid w:val="002D7941"/>
    <w:pPr>
      <w:ind w:left="720"/>
      <w:contextualSpacing/>
    </w:pPr>
  </w:style>
  <w:style w:type="numbering" w:customStyle="1" w:styleId="Style1">
    <w:name w:val="Style1"/>
    <w:rsid w:val="00434B2F"/>
    <w:pPr>
      <w:numPr>
        <w:numId w:val="2"/>
      </w:numPr>
    </w:pPr>
  </w:style>
  <w:style w:type="paragraph" w:customStyle="1" w:styleId="RakstzRakstz0">
    <w:name w:val="Rakstz. Rakstz."/>
    <w:basedOn w:val="Normal"/>
    <w:rsid w:val="002838F2"/>
    <w:rPr>
      <w:lang w:val="pl-PL" w:eastAsia="pl-PL"/>
    </w:rPr>
  </w:style>
  <w:style w:type="character" w:customStyle="1" w:styleId="PamattekstsRakstzCharChar">
    <w:name w:val="Pamatteksts Rakstz. Char Char"/>
    <w:rsid w:val="002838F2"/>
    <w:rPr>
      <w:sz w:val="28"/>
      <w:lang w:val="ru-RU" w:eastAsia="en-US" w:bidi="ar-SA"/>
    </w:rPr>
  </w:style>
  <w:style w:type="character" w:styleId="CommentReference">
    <w:name w:val="annotation reference"/>
    <w:semiHidden/>
    <w:locked/>
    <w:rsid w:val="002838F2"/>
    <w:rPr>
      <w:sz w:val="16"/>
      <w:szCs w:val="16"/>
    </w:rPr>
  </w:style>
  <w:style w:type="paragraph" w:styleId="CommentSubject">
    <w:name w:val="annotation subject"/>
    <w:basedOn w:val="CommentText"/>
    <w:next w:val="CommentText"/>
    <w:link w:val="CommentSubjectChar"/>
    <w:semiHidden/>
    <w:locked/>
    <w:rsid w:val="002838F2"/>
    <w:rPr>
      <w:b/>
      <w:bCs/>
    </w:rPr>
  </w:style>
  <w:style w:type="character" w:customStyle="1" w:styleId="CharChar">
    <w:name w:val="Char Char"/>
    <w:rsid w:val="002838F2"/>
    <w:rPr>
      <w:sz w:val="24"/>
      <w:lang w:val="en-GB" w:eastAsia="en-US" w:bidi="ar-SA"/>
    </w:rPr>
  </w:style>
  <w:style w:type="paragraph" w:customStyle="1" w:styleId="Default">
    <w:name w:val="Default"/>
    <w:rsid w:val="002838F2"/>
    <w:pPr>
      <w:autoSpaceDE w:val="0"/>
      <w:autoSpaceDN w:val="0"/>
      <w:adjustRightInd w:val="0"/>
    </w:pPr>
    <w:rPr>
      <w:color w:val="000000"/>
      <w:sz w:val="24"/>
      <w:szCs w:val="24"/>
    </w:rPr>
  </w:style>
  <w:style w:type="paragraph" w:customStyle="1" w:styleId="Pa3">
    <w:name w:val="Pa3"/>
    <w:basedOn w:val="Default"/>
    <w:next w:val="Default"/>
    <w:rsid w:val="002838F2"/>
    <w:pPr>
      <w:spacing w:line="241" w:lineRule="atLeast"/>
    </w:pPr>
    <w:rPr>
      <w:color w:val="auto"/>
    </w:rPr>
  </w:style>
  <w:style w:type="character" w:customStyle="1" w:styleId="CharChar2">
    <w:name w:val="Char Char2"/>
    <w:rsid w:val="002838F2"/>
    <w:rPr>
      <w:b/>
      <w:bCs/>
      <w:i/>
      <w:iCs/>
      <w:sz w:val="26"/>
      <w:szCs w:val="26"/>
      <w:lang w:val="lv-LV" w:eastAsia="lv-LV" w:bidi="ar-SA"/>
    </w:rPr>
  </w:style>
  <w:style w:type="table" w:customStyle="1" w:styleId="TableGrid1">
    <w:name w:val="Table Grid1"/>
    <w:basedOn w:val="TableNormal"/>
    <w:next w:val="TableGrid"/>
    <w:rsid w:val="0003413B"/>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
    <w:name w:val="Char Char1 Char"/>
    <w:basedOn w:val="Normal"/>
    <w:rsid w:val="00DA5AA2"/>
    <w:pPr>
      <w:spacing w:after="160" w:line="240" w:lineRule="exact"/>
    </w:pPr>
    <w:rPr>
      <w:rFonts w:ascii="Tahoma" w:eastAsia="MS Mincho" w:hAnsi="Tahoma"/>
      <w:sz w:val="20"/>
      <w:szCs w:val="20"/>
      <w:lang w:val="en-US" w:eastAsia="en-US"/>
    </w:rPr>
  </w:style>
  <w:style w:type="table" w:styleId="MediumList1-Accent5">
    <w:name w:val="Medium List 1 Accent 5"/>
    <w:basedOn w:val="TableNormal"/>
    <w:uiPriority w:val="65"/>
    <w:rsid w:val="000115A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CharChar1Char0">
    <w:name w:val="Char Char1 Char"/>
    <w:basedOn w:val="Normal"/>
    <w:rsid w:val="006F319C"/>
    <w:pPr>
      <w:spacing w:after="160" w:line="240" w:lineRule="exact"/>
    </w:pPr>
    <w:rPr>
      <w:rFonts w:ascii="Tahoma" w:eastAsia="MS Mincho" w:hAnsi="Tahoma"/>
      <w:sz w:val="20"/>
      <w:szCs w:val="20"/>
      <w:lang w:val="en-US" w:eastAsia="en-US"/>
    </w:rPr>
  </w:style>
  <w:style w:type="character" w:customStyle="1" w:styleId="BodyTextChar1">
    <w:name w:val="Body Text Char1"/>
    <w:aliases w:val="Pamatteksts Rakstz. Char1"/>
    <w:basedOn w:val="DefaultParagraphFont"/>
    <w:semiHidden/>
    <w:rsid w:val="00164A4B"/>
    <w:rPr>
      <w:sz w:val="24"/>
      <w:szCs w:val="24"/>
    </w:rPr>
  </w:style>
  <w:style w:type="character" w:customStyle="1" w:styleId="CommentSubjectChar">
    <w:name w:val="Comment Subject Char"/>
    <w:basedOn w:val="CommentTextChar"/>
    <w:link w:val="CommentSubject"/>
    <w:semiHidden/>
    <w:rsid w:val="00164A4B"/>
    <w:rPr>
      <w:rFonts w:cs="Times New Roman"/>
      <w:b/>
      <w:bCs/>
    </w:rPr>
  </w:style>
  <w:style w:type="paragraph" w:customStyle="1" w:styleId="Teksts1">
    <w:name w:val="Teksts1"/>
    <w:basedOn w:val="Normal"/>
    <w:rsid w:val="00164A4B"/>
    <w:pPr>
      <w:spacing w:after="320"/>
      <w:jc w:val="both"/>
    </w:pPr>
    <w:rPr>
      <w:szCs w:val="20"/>
      <w:lang w:eastAsia="en-US"/>
    </w:rPr>
  </w:style>
  <w:style w:type="paragraph" w:customStyle="1" w:styleId="Char">
    <w:name w:val="Char"/>
    <w:basedOn w:val="Normal"/>
    <w:rsid w:val="00324E38"/>
    <w:pPr>
      <w:spacing w:after="160" w:line="240" w:lineRule="exact"/>
    </w:pPr>
    <w:rPr>
      <w:rFonts w:ascii="Tahoma" w:hAnsi="Tahoma"/>
      <w:sz w:val="20"/>
      <w:szCs w:val="20"/>
      <w:lang w:val="en-US" w:eastAsia="en-US"/>
    </w:rPr>
  </w:style>
  <w:style w:type="paragraph" w:customStyle="1" w:styleId="CharChar1Char1">
    <w:name w:val="Char Char1 Char"/>
    <w:basedOn w:val="Normal"/>
    <w:rsid w:val="00C41FBA"/>
    <w:pPr>
      <w:spacing w:after="160" w:line="240" w:lineRule="exact"/>
    </w:pPr>
    <w:rPr>
      <w:rFonts w:ascii="Tahoma" w:eastAsia="MS Mincho" w:hAnsi="Tahoma"/>
      <w:sz w:val="20"/>
      <w:szCs w:val="20"/>
      <w:lang w:val="en-US" w:eastAsia="en-US"/>
    </w:rPr>
  </w:style>
  <w:style w:type="paragraph" w:customStyle="1" w:styleId="Style2">
    <w:name w:val="Style2"/>
    <w:basedOn w:val="Normal"/>
    <w:link w:val="Style2Char"/>
    <w:qFormat/>
    <w:rsid w:val="00974655"/>
    <w:pPr>
      <w:widowControl w:val="0"/>
      <w:spacing w:before="120"/>
      <w:jc w:val="center"/>
    </w:pPr>
    <w:rPr>
      <w:rFonts w:asciiTheme="minorHAnsi" w:hAnsiTheme="minorHAnsi"/>
      <w:color w:val="4A442A" w:themeColor="background2" w:themeShade="40"/>
      <w:sz w:val="44"/>
    </w:rPr>
  </w:style>
  <w:style w:type="paragraph" w:customStyle="1" w:styleId="virsraksts">
    <w:name w:val="virsraksts"/>
    <w:basedOn w:val="Style2"/>
    <w:link w:val="virsrakstsChar"/>
    <w:qFormat/>
    <w:rsid w:val="00E351E5"/>
  </w:style>
  <w:style w:type="character" w:customStyle="1" w:styleId="Style2Char">
    <w:name w:val="Style2 Char"/>
    <w:basedOn w:val="DefaultParagraphFont"/>
    <w:link w:val="Style2"/>
    <w:rsid w:val="00974655"/>
    <w:rPr>
      <w:rFonts w:asciiTheme="minorHAnsi" w:hAnsiTheme="minorHAnsi"/>
      <w:color w:val="4A442A" w:themeColor="background2" w:themeShade="40"/>
      <w:sz w:val="44"/>
      <w:szCs w:val="24"/>
    </w:rPr>
  </w:style>
  <w:style w:type="character" w:customStyle="1" w:styleId="virsrakstsChar">
    <w:name w:val="virsraksts Char"/>
    <w:basedOn w:val="Style2Char"/>
    <w:link w:val="virsraksts"/>
    <w:rsid w:val="00E351E5"/>
    <w:rPr>
      <w:rFonts w:asciiTheme="minorHAnsi" w:hAnsiTheme="minorHAnsi"/>
      <w:color w:val="4A442A" w:themeColor="background2" w:themeShade="40"/>
      <w:sz w:val="44"/>
      <w:szCs w:val="24"/>
    </w:rPr>
  </w:style>
  <w:style w:type="paragraph" w:customStyle="1" w:styleId="grafikiem">
    <w:name w:val="grafikiem"/>
    <w:basedOn w:val="Normal"/>
    <w:link w:val="grafikiemChar"/>
    <w:qFormat/>
    <w:rsid w:val="00C73BFD"/>
    <w:pPr>
      <w:widowControl w:val="0"/>
      <w:spacing w:before="120"/>
      <w:jc w:val="both"/>
    </w:pPr>
    <w:rPr>
      <w:rFonts w:asciiTheme="minorHAnsi" w:hAnsiTheme="minorHAnsi"/>
      <w:i/>
      <w:color w:val="943634" w:themeColor="accent2" w:themeShade="BF"/>
    </w:rPr>
  </w:style>
  <w:style w:type="character" w:styleId="SubtleReference">
    <w:name w:val="Subtle Reference"/>
    <w:basedOn w:val="DefaultParagraphFont"/>
    <w:uiPriority w:val="31"/>
    <w:qFormat/>
    <w:rsid w:val="00591964"/>
    <w:rPr>
      <w:smallCaps/>
      <w:color w:val="C0504D" w:themeColor="accent2"/>
      <w:u w:val="single"/>
    </w:rPr>
  </w:style>
  <w:style w:type="character" w:customStyle="1" w:styleId="grafikiemChar">
    <w:name w:val="grafikiem Char"/>
    <w:basedOn w:val="DefaultParagraphFont"/>
    <w:link w:val="grafikiem"/>
    <w:rsid w:val="00C73BFD"/>
    <w:rPr>
      <w:rFonts w:asciiTheme="minorHAnsi" w:hAnsiTheme="minorHAnsi"/>
      <w:i/>
      <w:color w:val="943634" w:themeColor="accent2" w:themeShade="BF"/>
      <w:sz w:val="24"/>
      <w:szCs w:val="24"/>
    </w:rPr>
  </w:style>
  <w:style w:type="character" w:styleId="SubtleEmphasis">
    <w:name w:val="Subtle Emphasis"/>
    <w:basedOn w:val="DefaultParagraphFont"/>
    <w:uiPriority w:val="19"/>
    <w:qFormat/>
    <w:rsid w:val="00591964"/>
    <w:rPr>
      <w:i/>
      <w:iCs/>
      <w:color w:val="808080" w:themeColor="text1" w:themeTint="7F"/>
    </w:rPr>
  </w:style>
  <w:style w:type="paragraph" w:styleId="NoSpacing">
    <w:name w:val="No Spacing"/>
    <w:uiPriority w:val="1"/>
    <w:qFormat/>
    <w:rsid w:val="00591964"/>
    <w:rPr>
      <w:sz w:val="24"/>
      <w:szCs w:val="24"/>
    </w:rPr>
  </w:style>
  <w:style w:type="character" w:styleId="PlaceholderText">
    <w:name w:val="Placeholder Text"/>
    <w:basedOn w:val="DefaultParagraphFont"/>
    <w:uiPriority w:val="99"/>
    <w:semiHidden/>
    <w:rsid w:val="00F76AD6"/>
    <w:rPr>
      <w:color w:val="808080"/>
    </w:rPr>
  </w:style>
  <w:style w:type="paragraph" w:customStyle="1" w:styleId="Char0">
    <w:name w:val="Char"/>
    <w:basedOn w:val="Normal"/>
    <w:rsid w:val="00CC371C"/>
    <w:pPr>
      <w:spacing w:after="160" w:line="240" w:lineRule="exact"/>
    </w:pPr>
    <w:rPr>
      <w:rFonts w:ascii="Tahoma" w:hAnsi="Tahoma"/>
      <w:sz w:val="20"/>
      <w:szCs w:val="20"/>
      <w:lang w:val="en-US" w:eastAsia="en-US"/>
    </w:rPr>
  </w:style>
  <w:style w:type="paragraph" w:customStyle="1" w:styleId="CharChar1Char2">
    <w:name w:val="Char Char1 Char"/>
    <w:basedOn w:val="Normal"/>
    <w:rsid w:val="005C155C"/>
    <w:pPr>
      <w:spacing w:after="160" w:line="240" w:lineRule="exact"/>
    </w:pPr>
    <w:rPr>
      <w:rFonts w:ascii="Tahoma" w:eastAsia="MS Mincho" w:hAnsi="Tahoma"/>
      <w:sz w:val="20"/>
      <w:szCs w:val="20"/>
      <w:lang w:val="en-US" w:eastAsia="en-US"/>
    </w:rPr>
  </w:style>
  <w:style w:type="character" w:styleId="FollowedHyperlink">
    <w:name w:val="FollowedHyperlink"/>
    <w:basedOn w:val="DefaultParagraphFont"/>
    <w:locked/>
    <w:rsid w:val="007C01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315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2">
                  <w:marLeft w:val="315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
                  <w:marLeft w:val="315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61930">
      <w:bodyDiv w:val="1"/>
      <w:marLeft w:val="0"/>
      <w:marRight w:val="0"/>
      <w:marTop w:val="0"/>
      <w:marBottom w:val="0"/>
      <w:divBdr>
        <w:top w:val="none" w:sz="0" w:space="0" w:color="auto"/>
        <w:left w:val="none" w:sz="0" w:space="0" w:color="auto"/>
        <w:bottom w:val="none" w:sz="0" w:space="0" w:color="auto"/>
        <w:right w:val="none" w:sz="0" w:space="0" w:color="auto"/>
      </w:divBdr>
    </w:div>
    <w:div w:id="70123880">
      <w:bodyDiv w:val="1"/>
      <w:marLeft w:val="0"/>
      <w:marRight w:val="0"/>
      <w:marTop w:val="0"/>
      <w:marBottom w:val="0"/>
      <w:divBdr>
        <w:top w:val="none" w:sz="0" w:space="0" w:color="auto"/>
        <w:left w:val="none" w:sz="0" w:space="0" w:color="auto"/>
        <w:bottom w:val="none" w:sz="0" w:space="0" w:color="auto"/>
        <w:right w:val="none" w:sz="0" w:space="0" w:color="auto"/>
      </w:divBdr>
    </w:div>
    <w:div w:id="78143077">
      <w:bodyDiv w:val="1"/>
      <w:marLeft w:val="0"/>
      <w:marRight w:val="0"/>
      <w:marTop w:val="0"/>
      <w:marBottom w:val="0"/>
      <w:divBdr>
        <w:top w:val="none" w:sz="0" w:space="0" w:color="auto"/>
        <w:left w:val="none" w:sz="0" w:space="0" w:color="auto"/>
        <w:bottom w:val="none" w:sz="0" w:space="0" w:color="auto"/>
        <w:right w:val="none" w:sz="0" w:space="0" w:color="auto"/>
      </w:divBdr>
    </w:div>
    <w:div w:id="99645844">
      <w:bodyDiv w:val="1"/>
      <w:marLeft w:val="0"/>
      <w:marRight w:val="0"/>
      <w:marTop w:val="0"/>
      <w:marBottom w:val="0"/>
      <w:divBdr>
        <w:top w:val="none" w:sz="0" w:space="0" w:color="auto"/>
        <w:left w:val="none" w:sz="0" w:space="0" w:color="auto"/>
        <w:bottom w:val="none" w:sz="0" w:space="0" w:color="auto"/>
        <w:right w:val="none" w:sz="0" w:space="0" w:color="auto"/>
      </w:divBdr>
    </w:div>
    <w:div w:id="116603181">
      <w:bodyDiv w:val="1"/>
      <w:marLeft w:val="0"/>
      <w:marRight w:val="0"/>
      <w:marTop w:val="0"/>
      <w:marBottom w:val="0"/>
      <w:divBdr>
        <w:top w:val="none" w:sz="0" w:space="0" w:color="auto"/>
        <w:left w:val="none" w:sz="0" w:space="0" w:color="auto"/>
        <w:bottom w:val="none" w:sz="0" w:space="0" w:color="auto"/>
        <w:right w:val="none" w:sz="0" w:space="0" w:color="auto"/>
      </w:divBdr>
    </w:div>
    <w:div w:id="190457764">
      <w:bodyDiv w:val="1"/>
      <w:marLeft w:val="0"/>
      <w:marRight w:val="0"/>
      <w:marTop w:val="0"/>
      <w:marBottom w:val="0"/>
      <w:divBdr>
        <w:top w:val="none" w:sz="0" w:space="0" w:color="auto"/>
        <w:left w:val="none" w:sz="0" w:space="0" w:color="auto"/>
        <w:bottom w:val="none" w:sz="0" w:space="0" w:color="auto"/>
        <w:right w:val="none" w:sz="0" w:space="0" w:color="auto"/>
      </w:divBdr>
    </w:div>
    <w:div w:id="193084273">
      <w:bodyDiv w:val="1"/>
      <w:marLeft w:val="0"/>
      <w:marRight w:val="0"/>
      <w:marTop w:val="0"/>
      <w:marBottom w:val="0"/>
      <w:divBdr>
        <w:top w:val="none" w:sz="0" w:space="0" w:color="auto"/>
        <w:left w:val="none" w:sz="0" w:space="0" w:color="auto"/>
        <w:bottom w:val="none" w:sz="0" w:space="0" w:color="auto"/>
        <w:right w:val="none" w:sz="0" w:space="0" w:color="auto"/>
      </w:divBdr>
    </w:div>
    <w:div w:id="251936638">
      <w:bodyDiv w:val="1"/>
      <w:marLeft w:val="0"/>
      <w:marRight w:val="0"/>
      <w:marTop w:val="0"/>
      <w:marBottom w:val="0"/>
      <w:divBdr>
        <w:top w:val="none" w:sz="0" w:space="0" w:color="auto"/>
        <w:left w:val="none" w:sz="0" w:space="0" w:color="auto"/>
        <w:bottom w:val="none" w:sz="0" w:space="0" w:color="auto"/>
        <w:right w:val="none" w:sz="0" w:space="0" w:color="auto"/>
      </w:divBdr>
    </w:div>
    <w:div w:id="277105424">
      <w:bodyDiv w:val="1"/>
      <w:marLeft w:val="0"/>
      <w:marRight w:val="0"/>
      <w:marTop w:val="0"/>
      <w:marBottom w:val="0"/>
      <w:divBdr>
        <w:top w:val="none" w:sz="0" w:space="0" w:color="auto"/>
        <w:left w:val="none" w:sz="0" w:space="0" w:color="auto"/>
        <w:bottom w:val="none" w:sz="0" w:space="0" w:color="auto"/>
        <w:right w:val="none" w:sz="0" w:space="0" w:color="auto"/>
      </w:divBdr>
    </w:div>
    <w:div w:id="288055290">
      <w:bodyDiv w:val="1"/>
      <w:marLeft w:val="0"/>
      <w:marRight w:val="0"/>
      <w:marTop w:val="0"/>
      <w:marBottom w:val="0"/>
      <w:divBdr>
        <w:top w:val="none" w:sz="0" w:space="0" w:color="auto"/>
        <w:left w:val="none" w:sz="0" w:space="0" w:color="auto"/>
        <w:bottom w:val="none" w:sz="0" w:space="0" w:color="auto"/>
        <w:right w:val="none" w:sz="0" w:space="0" w:color="auto"/>
      </w:divBdr>
    </w:div>
    <w:div w:id="344064585">
      <w:bodyDiv w:val="1"/>
      <w:marLeft w:val="0"/>
      <w:marRight w:val="0"/>
      <w:marTop w:val="0"/>
      <w:marBottom w:val="0"/>
      <w:divBdr>
        <w:top w:val="none" w:sz="0" w:space="0" w:color="auto"/>
        <w:left w:val="none" w:sz="0" w:space="0" w:color="auto"/>
        <w:bottom w:val="none" w:sz="0" w:space="0" w:color="auto"/>
        <w:right w:val="none" w:sz="0" w:space="0" w:color="auto"/>
      </w:divBdr>
    </w:div>
    <w:div w:id="367922899">
      <w:bodyDiv w:val="1"/>
      <w:marLeft w:val="0"/>
      <w:marRight w:val="0"/>
      <w:marTop w:val="0"/>
      <w:marBottom w:val="0"/>
      <w:divBdr>
        <w:top w:val="none" w:sz="0" w:space="0" w:color="auto"/>
        <w:left w:val="none" w:sz="0" w:space="0" w:color="auto"/>
        <w:bottom w:val="none" w:sz="0" w:space="0" w:color="auto"/>
        <w:right w:val="none" w:sz="0" w:space="0" w:color="auto"/>
      </w:divBdr>
    </w:div>
    <w:div w:id="371350147">
      <w:bodyDiv w:val="1"/>
      <w:marLeft w:val="0"/>
      <w:marRight w:val="0"/>
      <w:marTop w:val="0"/>
      <w:marBottom w:val="0"/>
      <w:divBdr>
        <w:top w:val="none" w:sz="0" w:space="0" w:color="auto"/>
        <w:left w:val="none" w:sz="0" w:space="0" w:color="auto"/>
        <w:bottom w:val="none" w:sz="0" w:space="0" w:color="auto"/>
        <w:right w:val="none" w:sz="0" w:space="0" w:color="auto"/>
      </w:divBdr>
    </w:div>
    <w:div w:id="401686439">
      <w:bodyDiv w:val="1"/>
      <w:marLeft w:val="0"/>
      <w:marRight w:val="0"/>
      <w:marTop w:val="0"/>
      <w:marBottom w:val="0"/>
      <w:divBdr>
        <w:top w:val="none" w:sz="0" w:space="0" w:color="auto"/>
        <w:left w:val="none" w:sz="0" w:space="0" w:color="auto"/>
        <w:bottom w:val="none" w:sz="0" w:space="0" w:color="auto"/>
        <w:right w:val="none" w:sz="0" w:space="0" w:color="auto"/>
      </w:divBdr>
    </w:div>
    <w:div w:id="439103447">
      <w:bodyDiv w:val="1"/>
      <w:marLeft w:val="0"/>
      <w:marRight w:val="0"/>
      <w:marTop w:val="0"/>
      <w:marBottom w:val="0"/>
      <w:divBdr>
        <w:top w:val="none" w:sz="0" w:space="0" w:color="auto"/>
        <w:left w:val="none" w:sz="0" w:space="0" w:color="auto"/>
        <w:bottom w:val="none" w:sz="0" w:space="0" w:color="auto"/>
        <w:right w:val="none" w:sz="0" w:space="0" w:color="auto"/>
      </w:divBdr>
    </w:div>
    <w:div w:id="443767617">
      <w:bodyDiv w:val="1"/>
      <w:marLeft w:val="0"/>
      <w:marRight w:val="0"/>
      <w:marTop w:val="0"/>
      <w:marBottom w:val="0"/>
      <w:divBdr>
        <w:top w:val="none" w:sz="0" w:space="0" w:color="auto"/>
        <w:left w:val="none" w:sz="0" w:space="0" w:color="auto"/>
        <w:bottom w:val="none" w:sz="0" w:space="0" w:color="auto"/>
        <w:right w:val="none" w:sz="0" w:space="0" w:color="auto"/>
      </w:divBdr>
    </w:div>
    <w:div w:id="478230414">
      <w:bodyDiv w:val="1"/>
      <w:marLeft w:val="0"/>
      <w:marRight w:val="0"/>
      <w:marTop w:val="0"/>
      <w:marBottom w:val="0"/>
      <w:divBdr>
        <w:top w:val="none" w:sz="0" w:space="0" w:color="auto"/>
        <w:left w:val="none" w:sz="0" w:space="0" w:color="auto"/>
        <w:bottom w:val="none" w:sz="0" w:space="0" w:color="auto"/>
        <w:right w:val="none" w:sz="0" w:space="0" w:color="auto"/>
      </w:divBdr>
    </w:div>
    <w:div w:id="486823221">
      <w:bodyDiv w:val="1"/>
      <w:marLeft w:val="0"/>
      <w:marRight w:val="0"/>
      <w:marTop w:val="0"/>
      <w:marBottom w:val="0"/>
      <w:divBdr>
        <w:top w:val="none" w:sz="0" w:space="0" w:color="auto"/>
        <w:left w:val="none" w:sz="0" w:space="0" w:color="auto"/>
        <w:bottom w:val="none" w:sz="0" w:space="0" w:color="auto"/>
        <w:right w:val="none" w:sz="0" w:space="0" w:color="auto"/>
      </w:divBdr>
    </w:div>
    <w:div w:id="494149737">
      <w:bodyDiv w:val="1"/>
      <w:marLeft w:val="0"/>
      <w:marRight w:val="0"/>
      <w:marTop w:val="0"/>
      <w:marBottom w:val="0"/>
      <w:divBdr>
        <w:top w:val="none" w:sz="0" w:space="0" w:color="auto"/>
        <w:left w:val="none" w:sz="0" w:space="0" w:color="auto"/>
        <w:bottom w:val="none" w:sz="0" w:space="0" w:color="auto"/>
        <w:right w:val="none" w:sz="0" w:space="0" w:color="auto"/>
      </w:divBdr>
    </w:div>
    <w:div w:id="502627775">
      <w:bodyDiv w:val="1"/>
      <w:marLeft w:val="0"/>
      <w:marRight w:val="0"/>
      <w:marTop w:val="0"/>
      <w:marBottom w:val="0"/>
      <w:divBdr>
        <w:top w:val="none" w:sz="0" w:space="0" w:color="auto"/>
        <w:left w:val="none" w:sz="0" w:space="0" w:color="auto"/>
        <w:bottom w:val="none" w:sz="0" w:space="0" w:color="auto"/>
        <w:right w:val="none" w:sz="0" w:space="0" w:color="auto"/>
      </w:divBdr>
    </w:div>
    <w:div w:id="528221163">
      <w:bodyDiv w:val="1"/>
      <w:marLeft w:val="0"/>
      <w:marRight w:val="0"/>
      <w:marTop w:val="0"/>
      <w:marBottom w:val="0"/>
      <w:divBdr>
        <w:top w:val="none" w:sz="0" w:space="0" w:color="auto"/>
        <w:left w:val="none" w:sz="0" w:space="0" w:color="auto"/>
        <w:bottom w:val="none" w:sz="0" w:space="0" w:color="auto"/>
        <w:right w:val="none" w:sz="0" w:space="0" w:color="auto"/>
      </w:divBdr>
    </w:div>
    <w:div w:id="531958520">
      <w:bodyDiv w:val="1"/>
      <w:marLeft w:val="0"/>
      <w:marRight w:val="0"/>
      <w:marTop w:val="0"/>
      <w:marBottom w:val="0"/>
      <w:divBdr>
        <w:top w:val="none" w:sz="0" w:space="0" w:color="auto"/>
        <w:left w:val="none" w:sz="0" w:space="0" w:color="auto"/>
        <w:bottom w:val="none" w:sz="0" w:space="0" w:color="auto"/>
        <w:right w:val="none" w:sz="0" w:space="0" w:color="auto"/>
      </w:divBdr>
    </w:div>
    <w:div w:id="543903205">
      <w:bodyDiv w:val="1"/>
      <w:marLeft w:val="0"/>
      <w:marRight w:val="0"/>
      <w:marTop w:val="0"/>
      <w:marBottom w:val="0"/>
      <w:divBdr>
        <w:top w:val="none" w:sz="0" w:space="0" w:color="auto"/>
        <w:left w:val="none" w:sz="0" w:space="0" w:color="auto"/>
        <w:bottom w:val="none" w:sz="0" w:space="0" w:color="auto"/>
        <w:right w:val="none" w:sz="0" w:space="0" w:color="auto"/>
      </w:divBdr>
    </w:div>
    <w:div w:id="558174919">
      <w:bodyDiv w:val="1"/>
      <w:marLeft w:val="0"/>
      <w:marRight w:val="0"/>
      <w:marTop w:val="0"/>
      <w:marBottom w:val="0"/>
      <w:divBdr>
        <w:top w:val="none" w:sz="0" w:space="0" w:color="auto"/>
        <w:left w:val="none" w:sz="0" w:space="0" w:color="auto"/>
        <w:bottom w:val="none" w:sz="0" w:space="0" w:color="auto"/>
        <w:right w:val="none" w:sz="0" w:space="0" w:color="auto"/>
      </w:divBdr>
    </w:div>
    <w:div w:id="622031691">
      <w:bodyDiv w:val="1"/>
      <w:marLeft w:val="0"/>
      <w:marRight w:val="0"/>
      <w:marTop w:val="0"/>
      <w:marBottom w:val="0"/>
      <w:divBdr>
        <w:top w:val="none" w:sz="0" w:space="0" w:color="auto"/>
        <w:left w:val="none" w:sz="0" w:space="0" w:color="auto"/>
        <w:bottom w:val="none" w:sz="0" w:space="0" w:color="auto"/>
        <w:right w:val="none" w:sz="0" w:space="0" w:color="auto"/>
      </w:divBdr>
    </w:div>
    <w:div w:id="645671612">
      <w:bodyDiv w:val="1"/>
      <w:marLeft w:val="0"/>
      <w:marRight w:val="0"/>
      <w:marTop w:val="0"/>
      <w:marBottom w:val="0"/>
      <w:divBdr>
        <w:top w:val="none" w:sz="0" w:space="0" w:color="auto"/>
        <w:left w:val="none" w:sz="0" w:space="0" w:color="auto"/>
        <w:bottom w:val="none" w:sz="0" w:space="0" w:color="auto"/>
        <w:right w:val="none" w:sz="0" w:space="0" w:color="auto"/>
      </w:divBdr>
    </w:div>
    <w:div w:id="659894018">
      <w:bodyDiv w:val="1"/>
      <w:marLeft w:val="0"/>
      <w:marRight w:val="0"/>
      <w:marTop w:val="0"/>
      <w:marBottom w:val="0"/>
      <w:divBdr>
        <w:top w:val="none" w:sz="0" w:space="0" w:color="auto"/>
        <w:left w:val="none" w:sz="0" w:space="0" w:color="auto"/>
        <w:bottom w:val="none" w:sz="0" w:space="0" w:color="auto"/>
        <w:right w:val="none" w:sz="0" w:space="0" w:color="auto"/>
      </w:divBdr>
    </w:div>
    <w:div w:id="677073917">
      <w:bodyDiv w:val="1"/>
      <w:marLeft w:val="0"/>
      <w:marRight w:val="0"/>
      <w:marTop w:val="0"/>
      <w:marBottom w:val="0"/>
      <w:divBdr>
        <w:top w:val="none" w:sz="0" w:space="0" w:color="auto"/>
        <w:left w:val="none" w:sz="0" w:space="0" w:color="auto"/>
        <w:bottom w:val="none" w:sz="0" w:space="0" w:color="auto"/>
        <w:right w:val="none" w:sz="0" w:space="0" w:color="auto"/>
      </w:divBdr>
    </w:div>
    <w:div w:id="686174784">
      <w:bodyDiv w:val="1"/>
      <w:marLeft w:val="0"/>
      <w:marRight w:val="0"/>
      <w:marTop w:val="0"/>
      <w:marBottom w:val="0"/>
      <w:divBdr>
        <w:top w:val="none" w:sz="0" w:space="0" w:color="auto"/>
        <w:left w:val="none" w:sz="0" w:space="0" w:color="auto"/>
        <w:bottom w:val="none" w:sz="0" w:space="0" w:color="auto"/>
        <w:right w:val="none" w:sz="0" w:space="0" w:color="auto"/>
      </w:divBdr>
    </w:div>
    <w:div w:id="727802847">
      <w:bodyDiv w:val="1"/>
      <w:marLeft w:val="0"/>
      <w:marRight w:val="0"/>
      <w:marTop w:val="0"/>
      <w:marBottom w:val="0"/>
      <w:divBdr>
        <w:top w:val="none" w:sz="0" w:space="0" w:color="auto"/>
        <w:left w:val="none" w:sz="0" w:space="0" w:color="auto"/>
        <w:bottom w:val="none" w:sz="0" w:space="0" w:color="auto"/>
        <w:right w:val="none" w:sz="0" w:space="0" w:color="auto"/>
      </w:divBdr>
    </w:div>
    <w:div w:id="746801971">
      <w:bodyDiv w:val="1"/>
      <w:marLeft w:val="0"/>
      <w:marRight w:val="0"/>
      <w:marTop w:val="0"/>
      <w:marBottom w:val="0"/>
      <w:divBdr>
        <w:top w:val="none" w:sz="0" w:space="0" w:color="auto"/>
        <w:left w:val="none" w:sz="0" w:space="0" w:color="auto"/>
        <w:bottom w:val="none" w:sz="0" w:space="0" w:color="auto"/>
        <w:right w:val="none" w:sz="0" w:space="0" w:color="auto"/>
      </w:divBdr>
    </w:div>
    <w:div w:id="760839581">
      <w:bodyDiv w:val="1"/>
      <w:marLeft w:val="0"/>
      <w:marRight w:val="0"/>
      <w:marTop w:val="0"/>
      <w:marBottom w:val="0"/>
      <w:divBdr>
        <w:top w:val="none" w:sz="0" w:space="0" w:color="auto"/>
        <w:left w:val="none" w:sz="0" w:space="0" w:color="auto"/>
        <w:bottom w:val="none" w:sz="0" w:space="0" w:color="auto"/>
        <w:right w:val="none" w:sz="0" w:space="0" w:color="auto"/>
      </w:divBdr>
    </w:div>
    <w:div w:id="796529272">
      <w:bodyDiv w:val="1"/>
      <w:marLeft w:val="0"/>
      <w:marRight w:val="0"/>
      <w:marTop w:val="0"/>
      <w:marBottom w:val="0"/>
      <w:divBdr>
        <w:top w:val="none" w:sz="0" w:space="0" w:color="auto"/>
        <w:left w:val="none" w:sz="0" w:space="0" w:color="auto"/>
        <w:bottom w:val="none" w:sz="0" w:space="0" w:color="auto"/>
        <w:right w:val="none" w:sz="0" w:space="0" w:color="auto"/>
      </w:divBdr>
    </w:div>
    <w:div w:id="801773768">
      <w:bodyDiv w:val="1"/>
      <w:marLeft w:val="0"/>
      <w:marRight w:val="0"/>
      <w:marTop w:val="0"/>
      <w:marBottom w:val="0"/>
      <w:divBdr>
        <w:top w:val="none" w:sz="0" w:space="0" w:color="auto"/>
        <w:left w:val="none" w:sz="0" w:space="0" w:color="auto"/>
        <w:bottom w:val="none" w:sz="0" w:space="0" w:color="auto"/>
        <w:right w:val="none" w:sz="0" w:space="0" w:color="auto"/>
      </w:divBdr>
    </w:div>
    <w:div w:id="855966944">
      <w:bodyDiv w:val="1"/>
      <w:marLeft w:val="0"/>
      <w:marRight w:val="0"/>
      <w:marTop w:val="0"/>
      <w:marBottom w:val="0"/>
      <w:divBdr>
        <w:top w:val="none" w:sz="0" w:space="0" w:color="auto"/>
        <w:left w:val="none" w:sz="0" w:space="0" w:color="auto"/>
        <w:bottom w:val="none" w:sz="0" w:space="0" w:color="auto"/>
        <w:right w:val="none" w:sz="0" w:space="0" w:color="auto"/>
      </w:divBdr>
    </w:div>
    <w:div w:id="888881568">
      <w:bodyDiv w:val="1"/>
      <w:marLeft w:val="0"/>
      <w:marRight w:val="0"/>
      <w:marTop w:val="0"/>
      <w:marBottom w:val="0"/>
      <w:divBdr>
        <w:top w:val="none" w:sz="0" w:space="0" w:color="auto"/>
        <w:left w:val="none" w:sz="0" w:space="0" w:color="auto"/>
        <w:bottom w:val="none" w:sz="0" w:space="0" w:color="auto"/>
        <w:right w:val="none" w:sz="0" w:space="0" w:color="auto"/>
      </w:divBdr>
    </w:div>
    <w:div w:id="926966558">
      <w:bodyDiv w:val="1"/>
      <w:marLeft w:val="0"/>
      <w:marRight w:val="0"/>
      <w:marTop w:val="0"/>
      <w:marBottom w:val="0"/>
      <w:divBdr>
        <w:top w:val="none" w:sz="0" w:space="0" w:color="auto"/>
        <w:left w:val="none" w:sz="0" w:space="0" w:color="auto"/>
        <w:bottom w:val="none" w:sz="0" w:space="0" w:color="auto"/>
        <w:right w:val="none" w:sz="0" w:space="0" w:color="auto"/>
      </w:divBdr>
    </w:div>
    <w:div w:id="978143737">
      <w:bodyDiv w:val="1"/>
      <w:marLeft w:val="0"/>
      <w:marRight w:val="0"/>
      <w:marTop w:val="0"/>
      <w:marBottom w:val="0"/>
      <w:divBdr>
        <w:top w:val="none" w:sz="0" w:space="0" w:color="auto"/>
        <w:left w:val="none" w:sz="0" w:space="0" w:color="auto"/>
        <w:bottom w:val="none" w:sz="0" w:space="0" w:color="auto"/>
        <w:right w:val="none" w:sz="0" w:space="0" w:color="auto"/>
      </w:divBdr>
    </w:div>
    <w:div w:id="1007053075">
      <w:bodyDiv w:val="1"/>
      <w:marLeft w:val="0"/>
      <w:marRight w:val="0"/>
      <w:marTop w:val="0"/>
      <w:marBottom w:val="0"/>
      <w:divBdr>
        <w:top w:val="none" w:sz="0" w:space="0" w:color="auto"/>
        <w:left w:val="none" w:sz="0" w:space="0" w:color="auto"/>
        <w:bottom w:val="none" w:sz="0" w:space="0" w:color="auto"/>
        <w:right w:val="none" w:sz="0" w:space="0" w:color="auto"/>
      </w:divBdr>
    </w:div>
    <w:div w:id="1017074739">
      <w:bodyDiv w:val="1"/>
      <w:marLeft w:val="0"/>
      <w:marRight w:val="0"/>
      <w:marTop w:val="0"/>
      <w:marBottom w:val="0"/>
      <w:divBdr>
        <w:top w:val="none" w:sz="0" w:space="0" w:color="auto"/>
        <w:left w:val="none" w:sz="0" w:space="0" w:color="auto"/>
        <w:bottom w:val="none" w:sz="0" w:space="0" w:color="auto"/>
        <w:right w:val="none" w:sz="0" w:space="0" w:color="auto"/>
      </w:divBdr>
    </w:div>
    <w:div w:id="1023826267">
      <w:bodyDiv w:val="1"/>
      <w:marLeft w:val="0"/>
      <w:marRight w:val="0"/>
      <w:marTop w:val="0"/>
      <w:marBottom w:val="0"/>
      <w:divBdr>
        <w:top w:val="none" w:sz="0" w:space="0" w:color="auto"/>
        <w:left w:val="none" w:sz="0" w:space="0" w:color="auto"/>
        <w:bottom w:val="none" w:sz="0" w:space="0" w:color="auto"/>
        <w:right w:val="none" w:sz="0" w:space="0" w:color="auto"/>
      </w:divBdr>
    </w:div>
    <w:div w:id="1031610628">
      <w:bodyDiv w:val="1"/>
      <w:marLeft w:val="0"/>
      <w:marRight w:val="0"/>
      <w:marTop w:val="0"/>
      <w:marBottom w:val="0"/>
      <w:divBdr>
        <w:top w:val="none" w:sz="0" w:space="0" w:color="auto"/>
        <w:left w:val="none" w:sz="0" w:space="0" w:color="auto"/>
        <w:bottom w:val="none" w:sz="0" w:space="0" w:color="auto"/>
        <w:right w:val="none" w:sz="0" w:space="0" w:color="auto"/>
      </w:divBdr>
    </w:div>
    <w:div w:id="1056322403">
      <w:bodyDiv w:val="1"/>
      <w:marLeft w:val="0"/>
      <w:marRight w:val="0"/>
      <w:marTop w:val="0"/>
      <w:marBottom w:val="0"/>
      <w:divBdr>
        <w:top w:val="none" w:sz="0" w:space="0" w:color="auto"/>
        <w:left w:val="none" w:sz="0" w:space="0" w:color="auto"/>
        <w:bottom w:val="none" w:sz="0" w:space="0" w:color="auto"/>
        <w:right w:val="none" w:sz="0" w:space="0" w:color="auto"/>
      </w:divBdr>
    </w:div>
    <w:div w:id="1069810487">
      <w:bodyDiv w:val="1"/>
      <w:marLeft w:val="0"/>
      <w:marRight w:val="0"/>
      <w:marTop w:val="0"/>
      <w:marBottom w:val="0"/>
      <w:divBdr>
        <w:top w:val="none" w:sz="0" w:space="0" w:color="auto"/>
        <w:left w:val="none" w:sz="0" w:space="0" w:color="auto"/>
        <w:bottom w:val="none" w:sz="0" w:space="0" w:color="auto"/>
        <w:right w:val="none" w:sz="0" w:space="0" w:color="auto"/>
      </w:divBdr>
    </w:div>
    <w:div w:id="1082532585">
      <w:bodyDiv w:val="1"/>
      <w:marLeft w:val="0"/>
      <w:marRight w:val="0"/>
      <w:marTop w:val="0"/>
      <w:marBottom w:val="0"/>
      <w:divBdr>
        <w:top w:val="none" w:sz="0" w:space="0" w:color="auto"/>
        <w:left w:val="none" w:sz="0" w:space="0" w:color="auto"/>
        <w:bottom w:val="none" w:sz="0" w:space="0" w:color="auto"/>
        <w:right w:val="none" w:sz="0" w:space="0" w:color="auto"/>
      </w:divBdr>
    </w:div>
    <w:div w:id="1086458328">
      <w:bodyDiv w:val="1"/>
      <w:marLeft w:val="0"/>
      <w:marRight w:val="0"/>
      <w:marTop w:val="0"/>
      <w:marBottom w:val="0"/>
      <w:divBdr>
        <w:top w:val="none" w:sz="0" w:space="0" w:color="auto"/>
        <w:left w:val="none" w:sz="0" w:space="0" w:color="auto"/>
        <w:bottom w:val="none" w:sz="0" w:space="0" w:color="auto"/>
        <w:right w:val="none" w:sz="0" w:space="0" w:color="auto"/>
      </w:divBdr>
    </w:div>
    <w:div w:id="1201161760">
      <w:bodyDiv w:val="1"/>
      <w:marLeft w:val="0"/>
      <w:marRight w:val="0"/>
      <w:marTop w:val="0"/>
      <w:marBottom w:val="0"/>
      <w:divBdr>
        <w:top w:val="none" w:sz="0" w:space="0" w:color="auto"/>
        <w:left w:val="none" w:sz="0" w:space="0" w:color="auto"/>
        <w:bottom w:val="none" w:sz="0" w:space="0" w:color="auto"/>
        <w:right w:val="none" w:sz="0" w:space="0" w:color="auto"/>
      </w:divBdr>
    </w:div>
    <w:div w:id="1205365104">
      <w:bodyDiv w:val="1"/>
      <w:marLeft w:val="0"/>
      <w:marRight w:val="0"/>
      <w:marTop w:val="0"/>
      <w:marBottom w:val="0"/>
      <w:divBdr>
        <w:top w:val="none" w:sz="0" w:space="0" w:color="auto"/>
        <w:left w:val="none" w:sz="0" w:space="0" w:color="auto"/>
        <w:bottom w:val="none" w:sz="0" w:space="0" w:color="auto"/>
        <w:right w:val="none" w:sz="0" w:space="0" w:color="auto"/>
      </w:divBdr>
    </w:div>
    <w:div w:id="1327590523">
      <w:bodyDiv w:val="1"/>
      <w:marLeft w:val="0"/>
      <w:marRight w:val="0"/>
      <w:marTop w:val="0"/>
      <w:marBottom w:val="0"/>
      <w:divBdr>
        <w:top w:val="none" w:sz="0" w:space="0" w:color="auto"/>
        <w:left w:val="none" w:sz="0" w:space="0" w:color="auto"/>
        <w:bottom w:val="none" w:sz="0" w:space="0" w:color="auto"/>
        <w:right w:val="none" w:sz="0" w:space="0" w:color="auto"/>
      </w:divBdr>
    </w:div>
    <w:div w:id="1335037834">
      <w:bodyDiv w:val="1"/>
      <w:marLeft w:val="0"/>
      <w:marRight w:val="0"/>
      <w:marTop w:val="0"/>
      <w:marBottom w:val="0"/>
      <w:divBdr>
        <w:top w:val="none" w:sz="0" w:space="0" w:color="auto"/>
        <w:left w:val="none" w:sz="0" w:space="0" w:color="auto"/>
        <w:bottom w:val="none" w:sz="0" w:space="0" w:color="auto"/>
        <w:right w:val="none" w:sz="0" w:space="0" w:color="auto"/>
      </w:divBdr>
    </w:div>
    <w:div w:id="1365445584">
      <w:bodyDiv w:val="1"/>
      <w:marLeft w:val="0"/>
      <w:marRight w:val="0"/>
      <w:marTop w:val="0"/>
      <w:marBottom w:val="0"/>
      <w:divBdr>
        <w:top w:val="none" w:sz="0" w:space="0" w:color="auto"/>
        <w:left w:val="none" w:sz="0" w:space="0" w:color="auto"/>
        <w:bottom w:val="none" w:sz="0" w:space="0" w:color="auto"/>
        <w:right w:val="none" w:sz="0" w:space="0" w:color="auto"/>
      </w:divBdr>
    </w:div>
    <w:div w:id="1450930913">
      <w:bodyDiv w:val="1"/>
      <w:marLeft w:val="0"/>
      <w:marRight w:val="0"/>
      <w:marTop w:val="0"/>
      <w:marBottom w:val="0"/>
      <w:divBdr>
        <w:top w:val="none" w:sz="0" w:space="0" w:color="auto"/>
        <w:left w:val="none" w:sz="0" w:space="0" w:color="auto"/>
        <w:bottom w:val="none" w:sz="0" w:space="0" w:color="auto"/>
        <w:right w:val="none" w:sz="0" w:space="0" w:color="auto"/>
      </w:divBdr>
    </w:div>
    <w:div w:id="1555044669">
      <w:bodyDiv w:val="1"/>
      <w:marLeft w:val="0"/>
      <w:marRight w:val="0"/>
      <w:marTop w:val="0"/>
      <w:marBottom w:val="0"/>
      <w:divBdr>
        <w:top w:val="none" w:sz="0" w:space="0" w:color="auto"/>
        <w:left w:val="none" w:sz="0" w:space="0" w:color="auto"/>
        <w:bottom w:val="none" w:sz="0" w:space="0" w:color="auto"/>
        <w:right w:val="none" w:sz="0" w:space="0" w:color="auto"/>
      </w:divBdr>
    </w:div>
    <w:div w:id="1577205981">
      <w:bodyDiv w:val="1"/>
      <w:marLeft w:val="0"/>
      <w:marRight w:val="0"/>
      <w:marTop w:val="0"/>
      <w:marBottom w:val="0"/>
      <w:divBdr>
        <w:top w:val="none" w:sz="0" w:space="0" w:color="auto"/>
        <w:left w:val="none" w:sz="0" w:space="0" w:color="auto"/>
        <w:bottom w:val="none" w:sz="0" w:space="0" w:color="auto"/>
        <w:right w:val="none" w:sz="0" w:space="0" w:color="auto"/>
      </w:divBdr>
    </w:div>
    <w:div w:id="1581601089">
      <w:bodyDiv w:val="1"/>
      <w:marLeft w:val="0"/>
      <w:marRight w:val="0"/>
      <w:marTop w:val="0"/>
      <w:marBottom w:val="0"/>
      <w:divBdr>
        <w:top w:val="none" w:sz="0" w:space="0" w:color="auto"/>
        <w:left w:val="none" w:sz="0" w:space="0" w:color="auto"/>
        <w:bottom w:val="none" w:sz="0" w:space="0" w:color="auto"/>
        <w:right w:val="none" w:sz="0" w:space="0" w:color="auto"/>
      </w:divBdr>
    </w:div>
    <w:div w:id="1592742673">
      <w:bodyDiv w:val="1"/>
      <w:marLeft w:val="0"/>
      <w:marRight w:val="0"/>
      <w:marTop w:val="0"/>
      <w:marBottom w:val="0"/>
      <w:divBdr>
        <w:top w:val="none" w:sz="0" w:space="0" w:color="auto"/>
        <w:left w:val="none" w:sz="0" w:space="0" w:color="auto"/>
        <w:bottom w:val="none" w:sz="0" w:space="0" w:color="auto"/>
        <w:right w:val="none" w:sz="0" w:space="0" w:color="auto"/>
      </w:divBdr>
    </w:div>
    <w:div w:id="1602952556">
      <w:bodyDiv w:val="1"/>
      <w:marLeft w:val="0"/>
      <w:marRight w:val="0"/>
      <w:marTop w:val="0"/>
      <w:marBottom w:val="0"/>
      <w:divBdr>
        <w:top w:val="none" w:sz="0" w:space="0" w:color="auto"/>
        <w:left w:val="none" w:sz="0" w:space="0" w:color="auto"/>
        <w:bottom w:val="none" w:sz="0" w:space="0" w:color="auto"/>
        <w:right w:val="none" w:sz="0" w:space="0" w:color="auto"/>
      </w:divBdr>
    </w:div>
    <w:div w:id="1616594582">
      <w:bodyDiv w:val="1"/>
      <w:marLeft w:val="0"/>
      <w:marRight w:val="0"/>
      <w:marTop w:val="0"/>
      <w:marBottom w:val="0"/>
      <w:divBdr>
        <w:top w:val="none" w:sz="0" w:space="0" w:color="auto"/>
        <w:left w:val="none" w:sz="0" w:space="0" w:color="auto"/>
        <w:bottom w:val="none" w:sz="0" w:space="0" w:color="auto"/>
        <w:right w:val="none" w:sz="0" w:space="0" w:color="auto"/>
      </w:divBdr>
    </w:div>
    <w:div w:id="1616979192">
      <w:bodyDiv w:val="1"/>
      <w:marLeft w:val="0"/>
      <w:marRight w:val="0"/>
      <w:marTop w:val="0"/>
      <w:marBottom w:val="0"/>
      <w:divBdr>
        <w:top w:val="none" w:sz="0" w:space="0" w:color="auto"/>
        <w:left w:val="none" w:sz="0" w:space="0" w:color="auto"/>
        <w:bottom w:val="none" w:sz="0" w:space="0" w:color="auto"/>
        <w:right w:val="none" w:sz="0" w:space="0" w:color="auto"/>
      </w:divBdr>
    </w:div>
    <w:div w:id="1650400766">
      <w:bodyDiv w:val="1"/>
      <w:marLeft w:val="0"/>
      <w:marRight w:val="0"/>
      <w:marTop w:val="0"/>
      <w:marBottom w:val="0"/>
      <w:divBdr>
        <w:top w:val="none" w:sz="0" w:space="0" w:color="auto"/>
        <w:left w:val="none" w:sz="0" w:space="0" w:color="auto"/>
        <w:bottom w:val="none" w:sz="0" w:space="0" w:color="auto"/>
        <w:right w:val="none" w:sz="0" w:space="0" w:color="auto"/>
      </w:divBdr>
    </w:div>
    <w:div w:id="1658798090">
      <w:bodyDiv w:val="1"/>
      <w:marLeft w:val="0"/>
      <w:marRight w:val="0"/>
      <w:marTop w:val="0"/>
      <w:marBottom w:val="0"/>
      <w:divBdr>
        <w:top w:val="none" w:sz="0" w:space="0" w:color="auto"/>
        <w:left w:val="none" w:sz="0" w:space="0" w:color="auto"/>
        <w:bottom w:val="none" w:sz="0" w:space="0" w:color="auto"/>
        <w:right w:val="none" w:sz="0" w:space="0" w:color="auto"/>
      </w:divBdr>
    </w:div>
    <w:div w:id="1689059673">
      <w:bodyDiv w:val="1"/>
      <w:marLeft w:val="0"/>
      <w:marRight w:val="0"/>
      <w:marTop w:val="0"/>
      <w:marBottom w:val="0"/>
      <w:divBdr>
        <w:top w:val="none" w:sz="0" w:space="0" w:color="auto"/>
        <w:left w:val="none" w:sz="0" w:space="0" w:color="auto"/>
        <w:bottom w:val="none" w:sz="0" w:space="0" w:color="auto"/>
        <w:right w:val="none" w:sz="0" w:space="0" w:color="auto"/>
      </w:divBdr>
    </w:div>
    <w:div w:id="1748574290">
      <w:bodyDiv w:val="1"/>
      <w:marLeft w:val="0"/>
      <w:marRight w:val="0"/>
      <w:marTop w:val="0"/>
      <w:marBottom w:val="0"/>
      <w:divBdr>
        <w:top w:val="none" w:sz="0" w:space="0" w:color="auto"/>
        <w:left w:val="none" w:sz="0" w:space="0" w:color="auto"/>
        <w:bottom w:val="none" w:sz="0" w:space="0" w:color="auto"/>
        <w:right w:val="none" w:sz="0" w:space="0" w:color="auto"/>
      </w:divBdr>
    </w:div>
    <w:div w:id="1762140414">
      <w:bodyDiv w:val="1"/>
      <w:marLeft w:val="0"/>
      <w:marRight w:val="0"/>
      <w:marTop w:val="0"/>
      <w:marBottom w:val="0"/>
      <w:divBdr>
        <w:top w:val="none" w:sz="0" w:space="0" w:color="auto"/>
        <w:left w:val="none" w:sz="0" w:space="0" w:color="auto"/>
        <w:bottom w:val="none" w:sz="0" w:space="0" w:color="auto"/>
        <w:right w:val="none" w:sz="0" w:space="0" w:color="auto"/>
      </w:divBdr>
    </w:div>
    <w:div w:id="1811559637">
      <w:bodyDiv w:val="1"/>
      <w:marLeft w:val="0"/>
      <w:marRight w:val="0"/>
      <w:marTop w:val="0"/>
      <w:marBottom w:val="0"/>
      <w:divBdr>
        <w:top w:val="none" w:sz="0" w:space="0" w:color="auto"/>
        <w:left w:val="none" w:sz="0" w:space="0" w:color="auto"/>
        <w:bottom w:val="none" w:sz="0" w:space="0" w:color="auto"/>
        <w:right w:val="none" w:sz="0" w:space="0" w:color="auto"/>
      </w:divBdr>
    </w:div>
    <w:div w:id="1823740286">
      <w:bodyDiv w:val="1"/>
      <w:marLeft w:val="0"/>
      <w:marRight w:val="0"/>
      <w:marTop w:val="0"/>
      <w:marBottom w:val="0"/>
      <w:divBdr>
        <w:top w:val="none" w:sz="0" w:space="0" w:color="auto"/>
        <w:left w:val="none" w:sz="0" w:space="0" w:color="auto"/>
        <w:bottom w:val="none" w:sz="0" w:space="0" w:color="auto"/>
        <w:right w:val="none" w:sz="0" w:space="0" w:color="auto"/>
      </w:divBdr>
    </w:div>
    <w:div w:id="1833450995">
      <w:bodyDiv w:val="1"/>
      <w:marLeft w:val="0"/>
      <w:marRight w:val="0"/>
      <w:marTop w:val="0"/>
      <w:marBottom w:val="0"/>
      <w:divBdr>
        <w:top w:val="none" w:sz="0" w:space="0" w:color="auto"/>
        <w:left w:val="none" w:sz="0" w:space="0" w:color="auto"/>
        <w:bottom w:val="none" w:sz="0" w:space="0" w:color="auto"/>
        <w:right w:val="none" w:sz="0" w:space="0" w:color="auto"/>
      </w:divBdr>
    </w:div>
    <w:div w:id="1874802280">
      <w:bodyDiv w:val="1"/>
      <w:marLeft w:val="0"/>
      <w:marRight w:val="0"/>
      <w:marTop w:val="0"/>
      <w:marBottom w:val="0"/>
      <w:divBdr>
        <w:top w:val="none" w:sz="0" w:space="0" w:color="auto"/>
        <w:left w:val="none" w:sz="0" w:space="0" w:color="auto"/>
        <w:bottom w:val="none" w:sz="0" w:space="0" w:color="auto"/>
        <w:right w:val="none" w:sz="0" w:space="0" w:color="auto"/>
      </w:divBdr>
    </w:div>
    <w:div w:id="1883400939">
      <w:bodyDiv w:val="1"/>
      <w:marLeft w:val="0"/>
      <w:marRight w:val="0"/>
      <w:marTop w:val="0"/>
      <w:marBottom w:val="0"/>
      <w:divBdr>
        <w:top w:val="none" w:sz="0" w:space="0" w:color="auto"/>
        <w:left w:val="none" w:sz="0" w:space="0" w:color="auto"/>
        <w:bottom w:val="none" w:sz="0" w:space="0" w:color="auto"/>
        <w:right w:val="none" w:sz="0" w:space="0" w:color="auto"/>
      </w:divBdr>
    </w:div>
    <w:div w:id="1923831694">
      <w:bodyDiv w:val="1"/>
      <w:marLeft w:val="0"/>
      <w:marRight w:val="0"/>
      <w:marTop w:val="0"/>
      <w:marBottom w:val="0"/>
      <w:divBdr>
        <w:top w:val="none" w:sz="0" w:space="0" w:color="auto"/>
        <w:left w:val="none" w:sz="0" w:space="0" w:color="auto"/>
        <w:bottom w:val="none" w:sz="0" w:space="0" w:color="auto"/>
        <w:right w:val="none" w:sz="0" w:space="0" w:color="auto"/>
      </w:divBdr>
    </w:div>
    <w:div w:id="1931888867">
      <w:bodyDiv w:val="1"/>
      <w:marLeft w:val="0"/>
      <w:marRight w:val="0"/>
      <w:marTop w:val="0"/>
      <w:marBottom w:val="0"/>
      <w:divBdr>
        <w:top w:val="none" w:sz="0" w:space="0" w:color="auto"/>
        <w:left w:val="none" w:sz="0" w:space="0" w:color="auto"/>
        <w:bottom w:val="none" w:sz="0" w:space="0" w:color="auto"/>
        <w:right w:val="none" w:sz="0" w:space="0" w:color="auto"/>
      </w:divBdr>
    </w:div>
    <w:div w:id="1941907356">
      <w:bodyDiv w:val="1"/>
      <w:marLeft w:val="0"/>
      <w:marRight w:val="0"/>
      <w:marTop w:val="0"/>
      <w:marBottom w:val="0"/>
      <w:divBdr>
        <w:top w:val="none" w:sz="0" w:space="0" w:color="auto"/>
        <w:left w:val="none" w:sz="0" w:space="0" w:color="auto"/>
        <w:bottom w:val="none" w:sz="0" w:space="0" w:color="auto"/>
        <w:right w:val="none" w:sz="0" w:space="0" w:color="auto"/>
      </w:divBdr>
    </w:div>
    <w:div w:id="1993368714">
      <w:bodyDiv w:val="1"/>
      <w:marLeft w:val="0"/>
      <w:marRight w:val="0"/>
      <w:marTop w:val="0"/>
      <w:marBottom w:val="0"/>
      <w:divBdr>
        <w:top w:val="none" w:sz="0" w:space="0" w:color="auto"/>
        <w:left w:val="none" w:sz="0" w:space="0" w:color="auto"/>
        <w:bottom w:val="none" w:sz="0" w:space="0" w:color="auto"/>
        <w:right w:val="none" w:sz="0" w:space="0" w:color="auto"/>
      </w:divBdr>
    </w:div>
    <w:div w:id="1994678309">
      <w:bodyDiv w:val="1"/>
      <w:marLeft w:val="0"/>
      <w:marRight w:val="0"/>
      <w:marTop w:val="0"/>
      <w:marBottom w:val="0"/>
      <w:divBdr>
        <w:top w:val="none" w:sz="0" w:space="0" w:color="auto"/>
        <w:left w:val="none" w:sz="0" w:space="0" w:color="auto"/>
        <w:bottom w:val="none" w:sz="0" w:space="0" w:color="auto"/>
        <w:right w:val="none" w:sz="0" w:space="0" w:color="auto"/>
      </w:divBdr>
    </w:div>
    <w:div w:id="1997953318">
      <w:bodyDiv w:val="1"/>
      <w:marLeft w:val="0"/>
      <w:marRight w:val="0"/>
      <w:marTop w:val="0"/>
      <w:marBottom w:val="0"/>
      <w:divBdr>
        <w:top w:val="none" w:sz="0" w:space="0" w:color="auto"/>
        <w:left w:val="none" w:sz="0" w:space="0" w:color="auto"/>
        <w:bottom w:val="none" w:sz="0" w:space="0" w:color="auto"/>
        <w:right w:val="none" w:sz="0" w:space="0" w:color="auto"/>
      </w:divBdr>
    </w:div>
    <w:div w:id="1999334681">
      <w:bodyDiv w:val="1"/>
      <w:marLeft w:val="0"/>
      <w:marRight w:val="0"/>
      <w:marTop w:val="0"/>
      <w:marBottom w:val="0"/>
      <w:divBdr>
        <w:top w:val="none" w:sz="0" w:space="0" w:color="auto"/>
        <w:left w:val="none" w:sz="0" w:space="0" w:color="auto"/>
        <w:bottom w:val="none" w:sz="0" w:space="0" w:color="auto"/>
        <w:right w:val="none" w:sz="0" w:space="0" w:color="auto"/>
      </w:divBdr>
    </w:div>
    <w:div w:id="2029915199">
      <w:bodyDiv w:val="1"/>
      <w:marLeft w:val="0"/>
      <w:marRight w:val="0"/>
      <w:marTop w:val="0"/>
      <w:marBottom w:val="0"/>
      <w:divBdr>
        <w:top w:val="none" w:sz="0" w:space="0" w:color="auto"/>
        <w:left w:val="none" w:sz="0" w:space="0" w:color="auto"/>
        <w:bottom w:val="none" w:sz="0" w:space="0" w:color="auto"/>
        <w:right w:val="none" w:sz="0" w:space="0" w:color="auto"/>
      </w:divBdr>
    </w:div>
    <w:div w:id="2058123847">
      <w:bodyDiv w:val="1"/>
      <w:marLeft w:val="0"/>
      <w:marRight w:val="0"/>
      <w:marTop w:val="0"/>
      <w:marBottom w:val="0"/>
      <w:divBdr>
        <w:top w:val="none" w:sz="0" w:space="0" w:color="auto"/>
        <w:left w:val="none" w:sz="0" w:space="0" w:color="auto"/>
        <w:bottom w:val="none" w:sz="0" w:space="0" w:color="auto"/>
        <w:right w:val="none" w:sz="0" w:space="0" w:color="auto"/>
      </w:divBdr>
    </w:div>
    <w:div w:id="2095055073">
      <w:bodyDiv w:val="1"/>
      <w:marLeft w:val="0"/>
      <w:marRight w:val="0"/>
      <w:marTop w:val="0"/>
      <w:marBottom w:val="0"/>
      <w:divBdr>
        <w:top w:val="none" w:sz="0" w:space="0" w:color="auto"/>
        <w:left w:val="none" w:sz="0" w:space="0" w:color="auto"/>
        <w:bottom w:val="none" w:sz="0" w:space="0" w:color="auto"/>
        <w:right w:val="none" w:sz="0" w:space="0" w:color="auto"/>
      </w:divBdr>
    </w:div>
    <w:div w:id="2096851413">
      <w:bodyDiv w:val="1"/>
      <w:marLeft w:val="0"/>
      <w:marRight w:val="0"/>
      <w:marTop w:val="0"/>
      <w:marBottom w:val="0"/>
      <w:divBdr>
        <w:top w:val="none" w:sz="0" w:space="0" w:color="auto"/>
        <w:left w:val="none" w:sz="0" w:space="0" w:color="auto"/>
        <w:bottom w:val="none" w:sz="0" w:space="0" w:color="auto"/>
        <w:right w:val="none" w:sz="0" w:space="0" w:color="auto"/>
      </w:divBdr>
    </w:div>
    <w:div w:id="2141340275">
      <w:bodyDiv w:val="1"/>
      <w:marLeft w:val="0"/>
      <w:marRight w:val="0"/>
      <w:marTop w:val="0"/>
      <w:marBottom w:val="0"/>
      <w:divBdr>
        <w:top w:val="none" w:sz="0" w:space="0" w:color="auto"/>
        <w:left w:val="none" w:sz="0" w:space="0" w:color="auto"/>
        <w:bottom w:val="none" w:sz="0" w:space="0" w:color="auto"/>
        <w:right w:val="none" w:sz="0" w:space="0" w:color="auto"/>
      </w:divBdr>
    </w:div>
    <w:div w:id="214296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5.emf"/><Relationship Id="rId26" Type="http://schemas.openxmlformats.org/officeDocument/2006/relationships/chart" Target="charts/chart6.xml"/><Relationship Id="rId39" Type="http://schemas.openxmlformats.org/officeDocument/2006/relationships/image" Target="media/image24.emf"/><Relationship Id="rId21" Type="http://schemas.openxmlformats.org/officeDocument/2006/relationships/image" Target="media/image8.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chart" Target="charts/chart8.xml"/><Relationship Id="rId55" Type="http://schemas.openxmlformats.org/officeDocument/2006/relationships/chart" Target="charts/chart11.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4.emf"/><Relationship Id="rId41" Type="http://schemas.openxmlformats.org/officeDocument/2006/relationships/image" Target="media/image26.emf"/><Relationship Id="rId54" Type="http://schemas.openxmlformats.org/officeDocument/2006/relationships/chart" Target="charts/chart1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1.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6.emf"/><Relationship Id="rId58"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10.emf"/><Relationship Id="rId28" Type="http://schemas.openxmlformats.org/officeDocument/2006/relationships/chart" Target="charts/chart7.xml"/><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chart" Target="charts/chart13.xml"/><Relationship Id="rId61"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emf"/><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5.emf"/><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image" Target="media/image9.emf"/><Relationship Id="rId27" Type="http://schemas.openxmlformats.org/officeDocument/2006/relationships/image" Target="media/image13.png"/><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chart" Target="charts/chart12.xml"/><Relationship Id="rId8" Type="http://schemas.openxmlformats.org/officeDocument/2006/relationships/endnotes" Target="endnotes.xml"/><Relationship Id="rId51" Type="http://schemas.openxmlformats.org/officeDocument/2006/relationships/chart" Target="charts/chart9.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oleObject" Target="file:///C:\Users\julija.sebeleva\AppData\Local\Microsoft\Windows\Temporary%20Internet%20Files\Content.Outlook\OI72IFYT\PLANS_PARSKATS_2012.xls"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file:///\\bkp\user_profiles\ilze.klauza\Desktop\diagrammam.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plotArea>
      <c:layout/>
      <c:barChart>
        <c:barDir val="col"/>
        <c:grouping val="clustered"/>
        <c:varyColors val="0"/>
        <c:ser>
          <c:idx val="0"/>
          <c:order val="0"/>
          <c:tx>
            <c:strRef>
              <c:f>Sheet1!$B$1</c:f>
              <c:strCache>
                <c:ptCount val="1"/>
                <c:pt idx="0">
                  <c:v>ierēdņi</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Sheet1!$B$2:$B$7</c:f>
              <c:numCache>
                <c:formatCode>General</c:formatCode>
                <c:ptCount val="6"/>
                <c:pt idx="0">
                  <c:v>152</c:v>
                </c:pt>
                <c:pt idx="1">
                  <c:v>128</c:v>
                </c:pt>
                <c:pt idx="2">
                  <c:v>129</c:v>
                </c:pt>
                <c:pt idx="3">
                  <c:v>129</c:v>
                </c:pt>
                <c:pt idx="4">
                  <c:v>132</c:v>
                </c:pt>
              </c:numCache>
            </c:numRef>
          </c:val>
        </c:ser>
        <c:ser>
          <c:idx val="1"/>
          <c:order val="1"/>
          <c:tx>
            <c:strRef>
              <c:f>Sheet1!$C$1</c:f>
              <c:strCache>
                <c:ptCount val="1"/>
                <c:pt idx="0">
                  <c:v>darbinieki</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Sheet1!$C$2:$C$7</c:f>
              <c:numCache>
                <c:formatCode>General</c:formatCode>
                <c:ptCount val="6"/>
                <c:pt idx="0">
                  <c:v>60</c:v>
                </c:pt>
                <c:pt idx="1">
                  <c:v>48</c:v>
                </c:pt>
                <c:pt idx="2">
                  <c:v>72</c:v>
                </c:pt>
                <c:pt idx="3">
                  <c:v>72</c:v>
                </c:pt>
                <c:pt idx="4">
                  <c:v>71</c:v>
                </c:pt>
              </c:numCache>
            </c:numRef>
          </c:val>
        </c:ser>
        <c:ser>
          <c:idx val="2"/>
          <c:order val="2"/>
          <c:tx>
            <c:strRef>
              <c:f>Sheet1!$D$1</c:f>
              <c:strCache>
                <c:ptCount val="1"/>
                <c:pt idx="0">
                  <c:v>kopā</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Sheet1!$D$2:$D$7</c:f>
              <c:numCache>
                <c:formatCode>General</c:formatCode>
                <c:ptCount val="6"/>
                <c:pt idx="0">
                  <c:v>212</c:v>
                </c:pt>
                <c:pt idx="1">
                  <c:v>176</c:v>
                </c:pt>
                <c:pt idx="2">
                  <c:v>201</c:v>
                </c:pt>
                <c:pt idx="3">
                  <c:v>201</c:v>
                </c:pt>
                <c:pt idx="4">
                  <c:v>203</c:v>
                </c:pt>
              </c:numCache>
            </c:numRef>
          </c:val>
        </c:ser>
        <c:dLbls>
          <c:showLegendKey val="0"/>
          <c:showVal val="0"/>
          <c:showCatName val="0"/>
          <c:showSerName val="0"/>
          <c:showPercent val="0"/>
          <c:showBubbleSize val="0"/>
        </c:dLbls>
        <c:gapWidth val="150"/>
        <c:axId val="126342272"/>
        <c:axId val="126343808"/>
      </c:barChart>
      <c:catAx>
        <c:axId val="126342272"/>
        <c:scaling>
          <c:orientation val="minMax"/>
        </c:scaling>
        <c:delete val="0"/>
        <c:axPos val="b"/>
        <c:numFmt formatCode="General" sourceLinked="1"/>
        <c:majorTickMark val="out"/>
        <c:minorTickMark val="none"/>
        <c:tickLblPos val="nextTo"/>
        <c:crossAx val="126343808"/>
        <c:crosses val="autoZero"/>
        <c:auto val="1"/>
        <c:lblAlgn val="ctr"/>
        <c:lblOffset val="100"/>
        <c:noMultiLvlLbl val="0"/>
      </c:catAx>
      <c:valAx>
        <c:axId val="126343808"/>
        <c:scaling>
          <c:orientation val="minMax"/>
        </c:scaling>
        <c:delete val="0"/>
        <c:axPos val="l"/>
        <c:majorGridlines/>
        <c:numFmt formatCode="General" sourceLinked="1"/>
        <c:majorTickMark val="out"/>
        <c:minorTickMark val="none"/>
        <c:tickLblPos val="nextTo"/>
        <c:crossAx val="126342272"/>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15"/>
      <c:hPercent val="41"/>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Reģistrētās šķirnes</c:v>
                </c:pt>
              </c:strCache>
            </c:strRef>
          </c:tx>
          <c:invertIfNegative val="0"/>
          <c:cat>
            <c:strRef>
              <c:f>Sheet1!$A$2:$A$6</c:f>
              <c:strCache>
                <c:ptCount val="5"/>
                <c:pt idx="0">
                  <c:v>Laukaugi</c:v>
                </c:pt>
                <c:pt idx="1">
                  <c:v>Augļaugi</c:v>
                </c:pt>
                <c:pt idx="2">
                  <c:v>Dekoratīvie augi</c:v>
                </c:pt>
                <c:pt idx="3">
                  <c:v>Dārzeņi</c:v>
                </c:pt>
                <c:pt idx="4">
                  <c:v>Kopā</c:v>
                </c:pt>
              </c:strCache>
            </c:strRef>
          </c:cat>
          <c:val>
            <c:numRef>
              <c:f>Sheet1!$B$2:$B$6</c:f>
              <c:numCache>
                <c:formatCode>General</c:formatCode>
                <c:ptCount val="5"/>
                <c:pt idx="0">
                  <c:v>132</c:v>
                </c:pt>
                <c:pt idx="1">
                  <c:v>73</c:v>
                </c:pt>
                <c:pt idx="2">
                  <c:v>79</c:v>
                </c:pt>
                <c:pt idx="3">
                  <c:v>1</c:v>
                </c:pt>
                <c:pt idx="4">
                  <c:v>285</c:v>
                </c:pt>
              </c:numCache>
            </c:numRef>
          </c:val>
        </c:ser>
        <c:ser>
          <c:idx val="1"/>
          <c:order val="1"/>
          <c:tx>
            <c:strRef>
              <c:f>Sheet1!$C$1</c:f>
              <c:strCache>
                <c:ptCount val="1"/>
                <c:pt idx="0">
                  <c:v>tajā skaitā Latvijā selekcionētās</c:v>
                </c:pt>
              </c:strCache>
            </c:strRef>
          </c:tx>
          <c:invertIfNegative val="0"/>
          <c:cat>
            <c:strRef>
              <c:f>Sheet1!$A$2:$A$6</c:f>
              <c:strCache>
                <c:ptCount val="5"/>
                <c:pt idx="0">
                  <c:v>Laukaugi</c:v>
                </c:pt>
                <c:pt idx="1">
                  <c:v>Augļaugi</c:v>
                </c:pt>
                <c:pt idx="2">
                  <c:v>Dekoratīvie augi</c:v>
                </c:pt>
                <c:pt idx="3">
                  <c:v>Dārzeņi</c:v>
                </c:pt>
                <c:pt idx="4">
                  <c:v>Kopā</c:v>
                </c:pt>
              </c:strCache>
            </c:strRef>
          </c:cat>
          <c:val>
            <c:numRef>
              <c:f>Sheet1!$C$2:$C$6</c:f>
              <c:numCache>
                <c:formatCode>General</c:formatCode>
                <c:ptCount val="5"/>
                <c:pt idx="0">
                  <c:v>73</c:v>
                </c:pt>
                <c:pt idx="1">
                  <c:v>73</c:v>
                </c:pt>
                <c:pt idx="2">
                  <c:v>79</c:v>
                </c:pt>
                <c:pt idx="3">
                  <c:v>1</c:v>
                </c:pt>
                <c:pt idx="4">
                  <c:v>226</c:v>
                </c:pt>
              </c:numCache>
            </c:numRef>
          </c:val>
        </c:ser>
        <c:dLbls>
          <c:showLegendKey val="0"/>
          <c:showVal val="0"/>
          <c:showCatName val="0"/>
          <c:showSerName val="0"/>
          <c:showPercent val="0"/>
          <c:showBubbleSize val="0"/>
        </c:dLbls>
        <c:gapWidth val="150"/>
        <c:shape val="box"/>
        <c:axId val="129933312"/>
        <c:axId val="129934848"/>
        <c:axId val="0"/>
      </c:bar3DChart>
      <c:catAx>
        <c:axId val="129933312"/>
        <c:scaling>
          <c:orientation val="minMax"/>
        </c:scaling>
        <c:delete val="0"/>
        <c:axPos val="b"/>
        <c:numFmt formatCode="General" sourceLinked="1"/>
        <c:majorTickMark val="none"/>
        <c:minorTickMark val="none"/>
        <c:tickLblPos val="low"/>
        <c:txPr>
          <a:bodyPr rot="0" vert="horz"/>
          <a:lstStyle/>
          <a:p>
            <a:pPr>
              <a:defRPr/>
            </a:pPr>
            <a:endParaRPr lang="lv-LV"/>
          </a:p>
        </c:txPr>
        <c:crossAx val="129934848"/>
        <c:crosses val="autoZero"/>
        <c:auto val="1"/>
        <c:lblAlgn val="ctr"/>
        <c:lblOffset val="100"/>
        <c:tickLblSkip val="1"/>
        <c:tickMarkSkip val="1"/>
        <c:noMultiLvlLbl val="0"/>
      </c:catAx>
      <c:valAx>
        <c:axId val="129934848"/>
        <c:scaling>
          <c:orientation val="minMax"/>
        </c:scaling>
        <c:delete val="0"/>
        <c:axPos val="l"/>
        <c:majorGridlines/>
        <c:numFmt formatCode="General" sourceLinked="1"/>
        <c:majorTickMark val="none"/>
        <c:minorTickMark val="none"/>
        <c:tickLblPos val="nextTo"/>
        <c:txPr>
          <a:bodyPr rot="0" vert="horz"/>
          <a:lstStyle/>
          <a:p>
            <a:pPr>
              <a:defRPr/>
            </a:pPr>
            <a:endParaRPr lang="lv-LV"/>
          </a:p>
        </c:txPr>
        <c:crossAx val="129933312"/>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6"/>
      <c:hPercent val="64"/>
      <c:rotY val="40"/>
      <c:depthPercent val="100"/>
      <c:rAngAx val="1"/>
    </c:view3D>
    <c:floor>
      <c:thickness val="0"/>
    </c:floor>
    <c:sideWall>
      <c:thickness val="0"/>
    </c:sideWall>
    <c:backWall>
      <c:thickness val="0"/>
    </c:backWall>
    <c:plotArea>
      <c:layout>
        <c:manualLayout>
          <c:layoutTarget val="inner"/>
          <c:xMode val="edge"/>
          <c:yMode val="edge"/>
          <c:x val="6.8716051826222688E-2"/>
          <c:y val="3.2527399923052598E-2"/>
          <c:w val="0.64556962025316456"/>
          <c:h val="0.92400000000000004"/>
        </c:manualLayout>
      </c:layout>
      <c:bar3DChart>
        <c:barDir val="col"/>
        <c:grouping val="clustered"/>
        <c:varyColors val="0"/>
        <c:ser>
          <c:idx val="0"/>
          <c:order val="0"/>
          <c:tx>
            <c:strRef>
              <c:f>Sheet1!$A$2</c:f>
              <c:strCache>
                <c:ptCount val="1"/>
                <c:pt idx="0">
                  <c:v>Latvija</c:v>
                </c:pt>
              </c:strCache>
            </c:strRef>
          </c:tx>
          <c:invertIfNegative val="0"/>
          <c:dLbls>
            <c:dLbl>
              <c:idx val="0"/>
              <c:layout>
                <c:manualLayout>
                  <c:x val="3.9882762376101492E-2"/>
                  <c:y val="-4.9526046327413649E-2"/>
                </c:manualLayout>
              </c:layout>
              <c:spPr/>
              <c:txPr>
                <a:bodyPr/>
                <a:lstStyle/>
                <a:p>
                  <a:pPr>
                    <a:defRPr/>
                  </a:pPr>
                  <a:endParaRPr lang="lv-LV"/>
                </a:p>
              </c:txPr>
              <c:showLegendKey val="0"/>
              <c:showVal val="1"/>
              <c:showCatName val="0"/>
              <c:showSerName val="0"/>
              <c:showPercent val="0"/>
              <c:showBubbleSize val="0"/>
            </c:dLbl>
            <c:showLegendKey val="0"/>
            <c:showVal val="0"/>
            <c:showCatName val="0"/>
            <c:showSerName val="0"/>
            <c:showPercent val="0"/>
            <c:showBubbleSize val="0"/>
          </c:dLbls>
          <c:cat>
            <c:numRef>
              <c:f>Sheet1!$B$1:$B$1</c:f>
              <c:numCache>
                <c:formatCode>General</c:formatCode>
                <c:ptCount val="1"/>
              </c:numCache>
            </c:numRef>
          </c:cat>
          <c:val>
            <c:numRef>
              <c:f>Sheet1!$B$2:$B$2</c:f>
              <c:numCache>
                <c:formatCode>General</c:formatCode>
                <c:ptCount val="1"/>
                <c:pt idx="0">
                  <c:v>226</c:v>
                </c:pt>
              </c:numCache>
            </c:numRef>
          </c:val>
        </c:ser>
        <c:ser>
          <c:idx val="3"/>
          <c:order val="1"/>
          <c:tx>
            <c:strRef>
              <c:f>Sheet1!$A$3</c:f>
              <c:strCache>
                <c:ptCount val="1"/>
                <c:pt idx="0">
                  <c:v>Zviedrija</c:v>
                </c:pt>
              </c:strCache>
            </c:strRef>
          </c:tx>
          <c:invertIfNegative val="0"/>
          <c:dLbls>
            <c:dLbl>
              <c:idx val="0"/>
              <c:layout>
                <c:manualLayout>
                  <c:x val="2.5273560998648206E-2"/>
                  <c:y val="-1.742432441035109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15</c:v>
                </c:pt>
              </c:numCache>
            </c:numRef>
          </c:val>
        </c:ser>
        <c:ser>
          <c:idx val="4"/>
          <c:order val="2"/>
          <c:tx>
            <c:strRef>
              <c:f>Sheet1!$A$4</c:f>
              <c:strCache>
                <c:ptCount val="1"/>
                <c:pt idx="0">
                  <c:v>Vācija</c:v>
                </c:pt>
              </c:strCache>
            </c:strRef>
          </c:tx>
          <c:invertIfNegative val="0"/>
          <c:dLbls>
            <c:dLbl>
              <c:idx val="0"/>
              <c:layout>
                <c:manualLayout>
                  <c:x val="2.4999504657962936E-2"/>
                  <c:y val="-3.183099853622748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13</c:v>
                </c:pt>
              </c:numCache>
            </c:numRef>
          </c:val>
        </c:ser>
        <c:ser>
          <c:idx val="5"/>
          <c:order val="3"/>
          <c:tx>
            <c:strRef>
              <c:f>Sheet1!$A$5</c:f>
              <c:strCache>
                <c:ptCount val="1"/>
                <c:pt idx="0">
                  <c:v>Polija</c:v>
                </c:pt>
              </c:strCache>
            </c:strRef>
          </c:tx>
          <c:invertIfNegative val="0"/>
          <c:dLbls>
            <c:dLbl>
              <c:idx val="0"/>
              <c:layout>
                <c:manualLayout>
                  <c:x val="2.6533766581292091E-2"/>
                  <c:y val="-3.42372697519645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11</c:v>
                </c:pt>
              </c:numCache>
            </c:numRef>
          </c:val>
        </c:ser>
        <c:ser>
          <c:idx val="6"/>
          <c:order val="4"/>
          <c:tx>
            <c:strRef>
              <c:f>Sheet1!$A$6</c:f>
              <c:strCache>
                <c:ptCount val="1"/>
                <c:pt idx="0">
                  <c:v>Nīderlande</c:v>
                </c:pt>
              </c:strCache>
            </c:strRef>
          </c:tx>
          <c:invertIfNegative val="0"/>
          <c:dLbls>
            <c:dLbl>
              <c:idx val="0"/>
              <c:layout>
                <c:manualLayout>
                  <c:x val="3.0007747843983499E-2"/>
                  <c:y val="-2.705061800371724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General</c:formatCode>
                <c:ptCount val="1"/>
                <c:pt idx="0">
                  <c:v>7</c:v>
                </c:pt>
              </c:numCache>
            </c:numRef>
          </c:val>
        </c:ser>
        <c:ser>
          <c:idx val="7"/>
          <c:order val="5"/>
          <c:tx>
            <c:strRef>
              <c:f>Sheet1!$A$7</c:f>
              <c:strCache>
                <c:ptCount val="1"/>
                <c:pt idx="0">
                  <c:v>Baltkrievija</c:v>
                </c:pt>
              </c:strCache>
            </c:strRef>
          </c:tx>
          <c:invertIfNegative val="0"/>
          <c:dLbls>
            <c:dLbl>
              <c:idx val="0"/>
              <c:layout>
                <c:manualLayout>
                  <c:x val="2.6117054975269297E-2"/>
                  <c:y val="-3.66604277374621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Sheet1!$B$7:$B$7</c:f>
              <c:numCache>
                <c:formatCode>General</c:formatCode>
                <c:ptCount val="1"/>
                <c:pt idx="0">
                  <c:v>4</c:v>
                </c:pt>
              </c:numCache>
            </c:numRef>
          </c:val>
        </c:ser>
        <c:ser>
          <c:idx val="8"/>
          <c:order val="6"/>
          <c:tx>
            <c:strRef>
              <c:f>Sheet1!$A$8</c:f>
              <c:strCache>
                <c:ptCount val="1"/>
                <c:pt idx="0">
                  <c:v>Krievija</c:v>
                </c:pt>
              </c:strCache>
            </c:strRef>
          </c:tx>
          <c:invertIfNegative val="0"/>
          <c:dLbls>
            <c:dLbl>
              <c:idx val="0"/>
              <c:layout>
                <c:manualLayout>
                  <c:x val="2.7651316898598507E-2"/>
                  <c:y val="-3.58639662554700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Sheet1!$B$8:$B$8</c:f>
              <c:numCache>
                <c:formatCode>General</c:formatCode>
                <c:ptCount val="1"/>
                <c:pt idx="0">
                  <c:v>3</c:v>
                </c:pt>
              </c:numCache>
            </c:numRef>
          </c:val>
        </c:ser>
        <c:ser>
          <c:idx val="9"/>
          <c:order val="7"/>
          <c:tx>
            <c:strRef>
              <c:f>Sheet1!$A$9</c:f>
              <c:strCache>
                <c:ptCount val="1"/>
                <c:pt idx="0">
                  <c:v>Apvienotā Karaliste</c:v>
                </c:pt>
              </c:strCache>
            </c:strRef>
          </c:tx>
          <c:invertIfNegative val="0"/>
          <c:dLbls>
            <c:dLbl>
              <c:idx val="0"/>
              <c:layout>
                <c:manualLayout>
                  <c:x val="2.3760810744364813E-2"/>
                  <c:y val="-3.18639662554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Sheet1!$B$9:$B$9</c:f>
              <c:numCache>
                <c:formatCode>General</c:formatCode>
                <c:ptCount val="1"/>
                <c:pt idx="0">
                  <c:v>3</c:v>
                </c:pt>
              </c:numCache>
            </c:numRef>
          </c:val>
        </c:ser>
        <c:ser>
          <c:idx val="10"/>
          <c:order val="8"/>
          <c:tx>
            <c:strRef>
              <c:f>Sheet1!$A$10</c:f>
              <c:strCache>
                <c:ptCount val="1"/>
                <c:pt idx="0">
                  <c:v>Dānija</c:v>
                </c:pt>
              </c:strCache>
            </c:strRef>
          </c:tx>
          <c:invertIfNegative val="0"/>
          <c:dLbls>
            <c:dLbl>
              <c:idx val="0"/>
              <c:layout>
                <c:manualLayout>
                  <c:x val="2.5295072667694027E-2"/>
                  <c:y val="-3.027064038134637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Sheet1!$B$10:$B$10</c:f>
              <c:numCache>
                <c:formatCode>General</c:formatCode>
                <c:ptCount val="1"/>
                <c:pt idx="0">
                  <c:v>1</c:v>
                </c:pt>
              </c:numCache>
            </c:numRef>
          </c:val>
        </c:ser>
        <c:ser>
          <c:idx val="11"/>
          <c:order val="9"/>
          <c:tx>
            <c:strRef>
              <c:f>Sheet1!$A$11</c:f>
              <c:strCache>
                <c:ptCount val="1"/>
                <c:pt idx="0">
                  <c:v>Ukraina</c:v>
                </c:pt>
              </c:strCache>
            </c:strRef>
          </c:tx>
          <c:invertIfNegative val="0"/>
          <c:dLbls>
            <c:dLbl>
              <c:idx val="0"/>
              <c:layout>
                <c:manualLayout>
                  <c:x val="2.8637652855037634E-2"/>
                  <c:y val="-3.42706403813463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Sheet1!$B$11:$B$11</c:f>
              <c:numCache>
                <c:formatCode>General</c:formatCode>
                <c:ptCount val="1"/>
                <c:pt idx="0">
                  <c:v>1</c:v>
                </c:pt>
              </c:numCache>
            </c:numRef>
          </c:val>
        </c:ser>
        <c:ser>
          <c:idx val="12"/>
          <c:order val="10"/>
          <c:tx>
            <c:strRef>
              <c:f>Sheet1!$A$12</c:f>
              <c:strCache>
                <c:ptCount val="1"/>
                <c:pt idx="0">
                  <c:v>Somija</c:v>
                </c:pt>
              </c:strCache>
            </c:strRef>
          </c:tx>
          <c:invertIfNegative val="0"/>
          <c:dLbls>
            <c:dLbl>
              <c:idx val="0"/>
              <c:layout>
                <c:manualLayout>
                  <c:x val="3.0172101492847353E-2"/>
                  <c:y val="-3.027064038134637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Sheet1!$B$12:$B$12</c:f>
              <c:numCache>
                <c:formatCode>General</c:formatCode>
                <c:ptCount val="1"/>
                <c:pt idx="0">
                  <c:v>1</c:v>
                </c:pt>
              </c:numCache>
            </c:numRef>
          </c:val>
        </c:ser>
        <c:dLbls>
          <c:showLegendKey val="0"/>
          <c:showVal val="0"/>
          <c:showCatName val="0"/>
          <c:showSerName val="0"/>
          <c:showPercent val="0"/>
          <c:showBubbleSize val="0"/>
        </c:dLbls>
        <c:gapWidth val="0"/>
        <c:gapDepth val="50"/>
        <c:shape val="box"/>
        <c:axId val="130165376"/>
        <c:axId val="130179456"/>
        <c:axId val="0"/>
      </c:bar3DChart>
      <c:catAx>
        <c:axId val="130165376"/>
        <c:scaling>
          <c:orientation val="minMax"/>
        </c:scaling>
        <c:delete val="0"/>
        <c:axPos val="b"/>
        <c:numFmt formatCode="General" sourceLinked="1"/>
        <c:majorTickMark val="out"/>
        <c:minorTickMark val="none"/>
        <c:tickLblPos val="low"/>
        <c:txPr>
          <a:bodyPr rot="0" vert="horz"/>
          <a:lstStyle/>
          <a:p>
            <a:pPr>
              <a:defRPr/>
            </a:pPr>
            <a:endParaRPr lang="lv-LV"/>
          </a:p>
        </c:txPr>
        <c:crossAx val="130179456"/>
        <c:crosses val="autoZero"/>
        <c:auto val="1"/>
        <c:lblAlgn val="ctr"/>
        <c:lblOffset val="100"/>
        <c:tickLblSkip val="1"/>
        <c:tickMarkSkip val="1"/>
        <c:noMultiLvlLbl val="0"/>
      </c:catAx>
      <c:valAx>
        <c:axId val="130179456"/>
        <c:scaling>
          <c:orientation val="minMax"/>
        </c:scaling>
        <c:delete val="0"/>
        <c:axPos val="l"/>
        <c:majorGridlines/>
        <c:numFmt formatCode="General" sourceLinked="1"/>
        <c:majorTickMark val="out"/>
        <c:minorTickMark val="none"/>
        <c:tickLblPos val="nextTo"/>
        <c:txPr>
          <a:bodyPr rot="0" vert="horz"/>
          <a:lstStyle/>
          <a:p>
            <a:pPr>
              <a:defRPr/>
            </a:pPr>
            <a:endParaRPr lang="lv-LV"/>
          </a:p>
        </c:txPr>
        <c:crossAx val="130165376"/>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5"/>
      <c:hPercent val="72"/>
      <c:rotY val="10"/>
      <c:depthPercent val="100"/>
      <c:rAngAx val="1"/>
    </c:view3D>
    <c:floor>
      <c:thickness val="0"/>
    </c:floor>
    <c:sideWall>
      <c:thickness val="0"/>
    </c:sideWall>
    <c:backWall>
      <c:thickness val="0"/>
    </c:backWall>
    <c:plotArea>
      <c:layout>
        <c:manualLayout>
          <c:layoutTarget val="inner"/>
          <c:xMode val="edge"/>
          <c:yMode val="edge"/>
          <c:x val="0.1023454157782516"/>
          <c:y val="2.7874564459930314E-2"/>
          <c:w val="0.75266524520255862"/>
          <c:h val="0.78048780487804881"/>
        </c:manualLayout>
      </c:layout>
      <c:bar3DChart>
        <c:barDir val="col"/>
        <c:grouping val="clustered"/>
        <c:varyColors val="0"/>
        <c:ser>
          <c:idx val="0"/>
          <c:order val="0"/>
          <c:tx>
            <c:strRef>
              <c:f>Sheet1!$A$2</c:f>
              <c:strCache>
                <c:ptCount val="1"/>
                <c:pt idx="0">
                  <c:v>Latvijā selekcionētas šķirnes</c:v>
                </c:pt>
              </c:strCache>
            </c:strRef>
          </c:tx>
          <c:invertIfNegative val="0"/>
          <c:dLbls>
            <c:dLbl>
              <c:idx val="0"/>
              <c:layout>
                <c:manualLayout>
                  <c:x val="1.025824696465521E-2"/>
                  <c:y val="5.2876130707130509E-3"/>
                </c:manualLayout>
              </c:layout>
              <c:showLegendKey val="0"/>
              <c:showVal val="1"/>
              <c:showCatName val="0"/>
              <c:showSerName val="0"/>
              <c:showPercent val="0"/>
              <c:showBubbleSize val="0"/>
            </c:dLbl>
            <c:dLbl>
              <c:idx val="1"/>
              <c:layout>
                <c:manualLayout>
                  <c:x val="4.5426555265730582E-3"/>
                  <c:y val="1.4851467765710643E-2"/>
                </c:manualLayout>
              </c:layout>
              <c:showLegendKey val="0"/>
              <c:showVal val="1"/>
              <c:showCatName val="0"/>
              <c:showSerName val="0"/>
              <c:showPercent val="0"/>
              <c:showBubbleSize val="0"/>
            </c:dLbl>
            <c:dLbl>
              <c:idx val="2"/>
              <c:layout>
                <c:manualLayout>
                  <c:x val="5.3596462364732204E-4"/>
                  <c:y val="-1.427247917028701E-2"/>
                </c:manualLayout>
              </c:layout>
              <c:showLegendKey val="0"/>
              <c:showVal val="1"/>
              <c:showCatName val="0"/>
              <c:showSerName val="0"/>
              <c:showPercent val="0"/>
              <c:showBubbleSize val="0"/>
            </c:dLbl>
            <c:dLbl>
              <c:idx val="3"/>
              <c:layout>
                <c:manualLayout>
                  <c:x val="9.7457463198935435E-3"/>
                  <c:y val="1.4851467765710643E-2"/>
                </c:manualLayout>
              </c:layout>
              <c:showLegendKey val="0"/>
              <c:showVal val="1"/>
              <c:showCatName val="0"/>
              <c:showSerName val="0"/>
              <c:showPercent val="0"/>
              <c:showBubbleSize val="0"/>
            </c:dLbl>
            <c:dLbl>
              <c:idx val="4"/>
              <c:layout>
                <c:manualLayout>
                  <c:x val="-6.5753306917296734E-4"/>
                  <c:y val="5.1640751132830702E-3"/>
                </c:manualLayout>
              </c:layout>
              <c:showLegendKey val="0"/>
              <c:showVal val="1"/>
              <c:showCatName val="0"/>
              <c:showSerName val="0"/>
              <c:showPercent val="0"/>
              <c:showBubbleSize val="0"/>
            </c:dLbl>
            <c:dLbl>
              <c:idx val="5"/>
              <c:layout>
                <c:manualLayout>
                  <c:x val="4.0759646903827775E-3"/>
                  <c:y val="5.5159751339487629E-3"/>
                </c:manualLayout>
              </c:layout>
              <c:showLegendKey val="0"/>
              <c:showVal val="1"/>
              <c:showCatName val="0"/>
              <c:showSerName val="0"/>
              <c:showPercent val="0"/>
              <c:showBubbleSize val="0"/>
            </c:dLbl>
            <c:dLbl>
              <c:idx val="6"/>
              <c:layout>
                <c:manualLayout>
                  <c:x val="4.7569617384413737E-3"/>
                  <c:y val="2.555948825181498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Sheet1!$B$1:$H$1</c:f>
              <c:strCache>
                <c:ptCount val="7"/>
                <c:pt idx="0">
                  <c:v>Pavisam</c:v>
                </c:pt>
                <c:pt idx="1">
                  <c:v>Bietes</c:v>
                </c:pt>
                <c:pt idx="2">
                  <c:v>Lopbarības augi</c:v>
                </c:pt>
                <c:pt idx="3">
                  <c:v>Eļļas un šķiedraugi</c:v>
                </c:pt>
                <c:pt idx="4">
                  <c:v>Labības</c:v>
                </c:pt>
                <c:pt idx="5">
                  <c:v>Kartupeļi</c:v>
                </c:pt>
                <c:pt idx="6">
                  <c:v>Dārzeņi</c:v>
                </c:pt>
              </c:strCache>
            </c:strRef>
          </c:cat>
          <c:val>
            <c:numRef>
              <c:f>Sheet1!$B$2:$H$2</c:f>
              <c:numCache>
                <c:formatCode>General</c:formatCode>
                <c:ptCount val="7"/>
                <c:pt idx="0">
                  <c:v>79</c:v>
                </c:pt>
                <c:pt idx="1">
                  <c:v>0</c:v>
                </c:pt>
                <c:pt idx="2">
                  <c:v>34</c:v>
                </c:pt>
                <c:pt idx="3">
                  <c:v>0</c:v>
                </c:pt>
                <c:pt idx="4">
                  <c:v>21</c:v>
                </c:pt>
                <c:pt idx="5">
                  <c:v>17</c:v>
                </c:pt>
                <c:pt idx="6">
                  <c:v>7</c:v>
                </c:pt>
              </c:numCache>
            </c:numRef>
          </c:val>
        </c:ser>
        <c:ser>
          <c:idx val="1"/>
          <c:order val="1"/>
          <c:tx>
            <c:strRef>
              <c:f>Sheet1!$A$3</c:f>
              <c:strCache>
                <c:ptCount val="1"/>
                <c:pt idx="0">
                  <c:v>Kopā šķirnes</c:v>
                </c:pt>
              </c:strCache>
            </c:strRef>
          </c:tx>
          <c:invertIfNegative val="0"/>
          <c:dLbls>
            <c:dLbl>
              <c:idx val="0"/>
              <c:layout>
                <c:manualLayout>
                  <c:x val="1.3226449650586511E-2"/>
                  <c:y val="4.0950566324771565E-2"/>
                </c:manualLayout>
              </c:layout>
              <c:showLegendKey val="0"/>
              <c:showVal val="1"/>
              <c:showCatName val="0"/>
              <c:showSerName val="0"/>
              <c:showPercent val="0"/>
              <c:showBubbleSize val="0"/>
            </c:dLbl>
            <c:dLbl>
              <c:idx val="1"/>
              <c:layout>
                <c:manualLayout>
                  <c:x val="1.4119338311241772E-2"/>
                  <c:y val="-2.5701350217458819E-3"/>
                </c:manualLayout>
              </c:layout>
              <c:showLegendKey val="0"/>
              <c:showVal val="1"/>
              <c:showCatName val="0"/>
              <c:showSerName val="0"/>
              <c:showPercent val="0"/>
              <c:showBubbleSize val="0"/>
            </c:dLbl>
            <c:dLbl>
              <c:idx val="2"/>
              <c:layout>
                <c:manualLayout>
                  <c:x val="1.4377039732409849E-2"/>
                  <c:y val="-7.1452278695543084E-3"/>
                </c:manualLayout>
              </c:layout>
              <c:showLegendKey val="0"/>
              <c:showVal val="1"/>
              <c:showCatName val="0"/>
              <c:showSerName val="0"/>
              <c:showPercent val="0"/>
              <c:showBubbleSize val="0"/>
            </c:dLbl>
            <c:dLbl>
              <c:idx val="3"/>
              <c:layout>
                <c:manualLayout>
                  <c:x val="8.4498004808824384E-3"/>
                  <c:y val="-4.875217559810084E-3"/>
                </c:manualLayout>
              </c:layout>
              <c:showLegendKey val="0"/>
              <c:showVal val="1"/>
              <c:showCatName val="0"/>
              <c:showSerName val="0"/>
              <c:showPercent val="0"/>
              <c:showBubbleSize val="0"/>
            </c:dLbl>
            <c:dLbl>
              <c:idx val="4"/>
              <c:layout>
                <c:manualLayout>
                  <c:x val="6.5750619408522304E-3"/>
                  <c:y val="-8.8429589941675605E-3"/>
                </c:manualLayout>
              </c:layout>
              <c:showLegendKey val="0"/>
              <c:showVal val="1"/>
              <c:showCatName val="0"/>
              <c:showSerName val="0"/>
              <c:showPercent val="0"/>
              <c:showBubbleSize val="0"/>
            </c:dLbl>
            <c:dLbl>
              <c:idx val="5"/>
              <c:layout>
                <c:manualLayout>
                  <c:x val="9.3882551509575675E-3"/>
                  <c:y val="1.2995126455347157E-2"/>
                </c:manualLayout>
              </c:layout>
              <c:showLegendKey val="0"/>
              <c:showVal val="1"/>
              <c:showCatName val="0"/>
              <c:showSerName val="0"/>
              <c:showPercent val="0"/>
              <c:showBubbleSize val="0"/>
            </c:dLbl>
            <c:dLbl>
              <c:idx val="6"/>
              <c:layout>
                <c:manualLayout>
                  <c:x val="1.6465840685156937E-2"/>
                  <c:y val="7.178634030241983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Sheet1!$B$1:$H$1</c:f>
              <c:strCache>
                <c:ptCount val="7"/>
                <c:pt idx="0">
                  <c:v>Pavisam</c:v>
                </c:pt>
                <c:pt idx="1">
                  <c:v>Bietes</c:v>
                </c:pt>
                <c:pt idx="2">
                  <c:v>Lopbarības augi</c:v>
                </c:pt>
                <c:pt idx="3">
                  <c:v>Eļļas un šķiedraugi</c:v>
                </c:pt>
                <c:pt idx="4">
                  <c:v>Labības</c:v>
                </c:pt>
                <c:pt idx="5">
                  <c:v>Kartupeļi</c:v>
                </c:pt>
                <c:pt idx="6">
                  <c:v>Dārzeņi</c:v>
                </c:pt>
              </c:strCache>
            </c:strRef>
          </c:cat>
          <c:val>
            <c:numRef>
              <c:f>Sheet1!$B$3:$H$3</c:f>
              <c:numCache>
                <c:formatCode>General</c:formatCode>
                <c:ptCount val="7"/>
                <c:pt idx="0">
                  <c:v>238</c:v>
                </c:pt>
                <c:pt idx="1">
                  <c:v>0</c:v>
                </c:pt>
                <c:pt idx="2">
                  <c:v>52</c:v>
                </c:pt>
                <c:pt idx="3">
                  <c:v>46</c:v>
                </c:pt>
                <c:pt idx="4">
                  <c:v>101</c:v>
                </c:pt>
                <c:pt idx="5">
                  <c:v>31</c:v>
                </c:pt>
                <c:pt idx="6">
                  <c:v>8</c:v>
                </c:pt>
              </c:numCache>
            </c:numRef>
          </c:val>
        </c:ser>
        <c:dLbls>
          <c:showLegendKey val="0"/>
          <c:showVal val="1"/>
          <c:showCatName val="0"/>
          <c:showSerName val="0"/>
          <c:showPercent val="0"/>
          <c:showBubbleSize val="0"/>
        </c:dLbls>
        <c:gapWidth val="150"/>
        <c:gapDepth val="0"/>
        <c:shape val="box"/>
        <c:axId val="130221952"/>
        <c:axId val="130223488"/>
        <c:axId val="0"/>
      </c:bar3DChart>
      <c:catAx>
        <c:axId val="130221952"/>
        <c:scaling>
          <c:orientation val="minMax"/>
        </c:scaling>
        <c:delete val="0"/>
        <c:axPos val="b"/>
        <c:numFmt formatCode="General" sourceLinked="1"/>
        <c:majorTickMark val="out"/>
        <c:minorTickMark val="none"/>
        <c:tickLblPos val="low"/>
        <c:txPr>
          <a:bodyPr rot="-2700000" vert="horz"/>
          <a:lstStyle/>
          <a:p>
            <a:pPr>
              <a:defRPr/>
            </a:pPr>
            <a:endParaRPr lang="lv-LV"/>
          </a:p>
        </c:txPr>
        <c:crossAx val="130223488"/>
        <c:crosses val="autoZero"/>
        <c:auto val="1"/>
        <c:lblAlgn val="ctr"/>
        <c:lblOffset val="100"/>
        <c:tickLblSkip val="1"/>
        <c:tickMarkSkip val="1"/>
        <c:noMultiLvlLbl val="0"/>
      </c:catAx>
      <c:valAx>
        <c:axId val="130223488"/>
        <c:scaling>
          <c:orientation val="minMax"/>
          <c:max val="300"/>
          <c:min val="0"/>
        </c:scaling>
        <c:delete val="0"/>
        <c:axPos val="l"/>
        <c:numFmt formatCode="General" sourceLinked="1"/>
        <c:majorTickMark val="out"/>
        <c:minorTickMark val="none"/>
        <c:tickLblPos val="nextTo"/>
        <c:txPr>
          <a:bodyPr rot="0" vert="horz"/>
          <a:lstStyle/>
          <a:p>
            <a:pPr>
              <a:defRPr/>
            </a:pPr>
            <a:endParaRPr lang="lv-LV"/>
          </a:p>
        </c:txPr>
        <c:crossAx val="130221952"/>
        <c:crosses val="autoZero"/>
        <c:crossBetween val="between"/>
        <c:majorUnit val="20"/>
        <c:minorUnit val="5"/>
      </c:valAx>
    </c:plotArea>
    <c:legend>
      <c:legendPos val="r"/>
      <c:layout>
        <c:manualLayout>
          <c:xMode val="edge"/>
          <c:yMode val="edge"/>
          <c:x val="0.78038379530916846"/>
          <c:y val="0.32055749128919858"/>
          <c:w val="0.21961620469083157"/>
          <c:h val="0.40238839210340116"/>
        </c:manualLayout>
      </c:layout>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3"/>
      <c:hPercent val="55"/>
      <c:rotY val="15"/>
      <c:depthPercent val="10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Vācija</c:v>
                </c:pt>
              </c:strCache>
            </c:strRef>
          </c:tx>
          <c:invertIfNegative val="0"/>
          <c:dLbls>
            <c:dLbl>
              <c:idx val="0"/>
              <c:layout>
                <c:manualLayout>
                  <c:x val="8.6199739731087893E-3"/>
                  <c:y val="-8.8235109779617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94</c:v>
                </c:pt>
              </c:numCache>
            </c:numRef>
          </c:val>
        </c:ser>
        <c:ser>
          <c:idx val="1"/>
          <c:order val="1"/>
          <c:tx>
            <c:strRef>
              <c:f>Sheet1!$A$3</c:f>
              <c:strCache>
                <c:ptCount val="1"/>
                <c:pt idx="0">
                  <c:v>Latvija</c:v>
                </c:pt>
              </c:strCache>
            </c:strRef>
          </c:tx>
          <c:invertIfNegative val="0"/>
          <c:dLbls>
            <c:dLbl>
              <c:idx val="0"/>
              <c:layout>
                <c:manualLayout>
                  <c:x val="6.2423930351263868E-3"/>
                  <c:y val="-8.616594570600125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79</c:v>
                </c:pt>
              </c:numCache>
            </c:numRef>
          </c:val>
        </c:ser>
        <c:ser>
          <c:idx val="2"/>
          <c:order val="2"/>
          <c:tx>
            <c:strRef>
              <c:f>Sheet1!$A$4</c:f>
              <c:strCache>
                <c:ptCount val="1"/>
                <c:pt idx="0">
                  <c:v>Dānija</c:v>
                </c:pt>
              </c:strCache>
            </c:strRef>
          </c:tx>
          <c:invertIfNegative val="0"/>
          <c:dLbls>
            <c:dLbl>
              <c:idx val="0"/>
              <c:layout>
                <c:manualLayout>
                  <c:x val="1.4525792907378487E-2"/>
                  <c:y val="4.28370414010692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14</c:v>
                </c:pt>
              </c:numCache>
            </c:numRef>
          </c:val>
        </c:ser>
        <c:ser>
          <c:idx val="3"/>
          <c:order val="3"/>
          <c:tx>
            <c:strRef>
              <c:f>Sheet1!$A$5</c:f>
              <c:strCache>
                <c:ptCount val="1"/>
                <c:pt idx="0">
                  <c:v>Nīderlande</c:v>
                </c:pt>
              </c:strCache>
            </c:strRef>
          </c:tx>
          <c:invertIfNegative val="0"/>
          <c:dLbls>
            <c:dLbl>
              <c:idx val="0"/>
              <c:layout>
                <c:manualLayout>
                  <c:x val="1.8544800455536775E-2"/>
                  <c:y val="1.894016693019974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13</c:v>
                </c:pt>
              </c:numCache>
            </c:numRef>
          </c:val>
        </c:ser>
        <c:ser>
          <c:idx val="4"/>
          <c:order val="4"/>
          <c:tx>
            <c:strRef>
              <c:f>Sheet1!$A$6</c:f>
              <c:strCache>
                <c:ptCount val="1"/>
                <c:pt idx="0">
                  <c:v>Zviedrija</c:v>
                </c:pt>
              </c:strCache>
            </c:strRef>
          </c:tx>
          <c:invertIfNegative val="0"/>
          <c:dLbls>
            <c:dLbl>
              <c:idx val="0"/>
              <c:layout>
                <c:manualLayout>
                  <c:x val="2.2003978428094512E-2"/>
                  <c:y val="6.454906979460254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General</c:formatCode>
                <c:ptCount val="1"/>
                <c:pt idx="0">
                  <c:v>9</c:v>
                </c:pt>
              </c:numCache>
            </c:numRef>
          </c:val>
        </c:ser>
        <c:ser>
          <c:idx val="5"/>
          <c:order val="5"/>
          <c:tx>
            <c:strRef>
              <c:f>Sheet1!$A$7</c:f>
              <c:strCache>
                <c:ptCount val="1"/>
                <c:pt idx="0">
                  <c:v>Lielbritānija</c:v>
                </c:pt>
              </c:strCache>
            </c:strRef>
          </c:tx>
          <c:invertIfNegative val="0"/>
          <c:dLbls>
            <c:dLbl>
              <c:idx val="0"/>
              <c:layout>
                <c:manualLayout>
                  <c:x val="3.0287378300346644E-2"/>
                  <c:y val="7.778036436219883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Sheet1!$B$7:$B$7</c:f>
              <c:numCache>
                <c:formatCode>General</c:formatCode>
                <c:ptCount val="1"/>
                <c:pt idx="0">
                  <c:v>8</c:v>
                </c:pt>
              </c:numCache>
            </c:numRef>
          </c:val>
        </c:ser>
        <c:ser>
          <c:idx val="6"/>
          <c:order val="6"/>
          <c:tx>
            <c:strRef>
              <c:f>Sheet1!$A$8</c:f>
              <c:strCache>
                <c:ptCount val="1"/>
                <c:pt idx="0">
                  <c:v>Francija</c:v>
                </c:pt>
              </c:strCache>
            </c:strRef>
          </c:tx>
          <c:invertIfNegative val="0"/>
          <c:dLbls>
            <c:dLbl>
              <c:idx val="0"/>
              <c:layout>
                <c:manualLayout>
                  <c:x val="3.4306385848504956E-2"/>
                  <c:y val="9.101165892979400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Sheet1!$B$8:$B$8</c:f>
              <c:numCache>
                <c:formatCode>General</c:formatCode>
                <c:ptCount val="1"/>
                <c:pt idx="0">
                  <c:v>7</c:v>
                </c:pt>
              </c:numCache>
            </c:numRef>
          </c:val>
        </c:ser>
        <c:ser>
          <c:idx val="7"/>
          <c:order val="7"/>
          <c:tx>
            <c:strRef>
              <c:f>Sheet1!$A$9</c:f>
              <c:strCache>
                <c:ptCount val="1"/>
                <c:pt idx="0">
                  <c:v>Polija</c:v>
                </c:pt>
              </c:strCache>
            </c:strRef>
          </c:tx>
          <c:invertIfNegative val="0"/>
          <c:dLbls>
            <c:dLbl>
              <c:idx val="0"/>
              <c:layout>
                <c:manualLayout>
                  <c:x val="4.4721981882803997E-2"/>
                  <c:y val="1.48687397941833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Sheet1!$B$9:$B$9</c:f>
              <c:numCache>
                <c:formatCode>General</c:formatCode>
                <c:ptCount val="1"/>
                <c:pt idx="0">
                  <c:v>6</c:v>
                </c:pt>
              </c:numCache>
            </c:numRef>
          </c:val>
        </c:ser>
        <c:ser>
          <c:idx val="8"/>
          <c:order val="8"/>
          <c:tx>
            <c:strRef>
              <c:f>Sheet1!$A$10</c:f>
              <c:strCache>
                <c:ptCount val="1"/>
                <c:pt idx="0">
                  <c:v>ASV</c:v>
                </c:pt>
              </c:strCache>
            </c:strRef>
          </c:tx>
          <c:invertIfNegative val="0"/>
          <c:dLbls>
            <c:dLbl>
              <c:idx val="0"/>
              <c:layout>
                <c:manualLayout>
                  <c:x val="4.6608793268915351E-2"/>
                  <c:y val="1.703994263353683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Sheet1!$B$10:$B$10</c:f>
              <c:numCache>
                <c:formatCode>General</c:formatCode>
                <c:ptCount val="1"/>
                <c:pt idx="0">
                  <c:v>1</c:v>
                </c:pt>
              </c:numCache>
            </c:numRef>
          </c:val>
        </c:ser>
        <c:ser>
          <c:idx val="9"/>
          <c:order val="9"/>
          <c:tx>
            <c:strRef>
              <c:f>Sheet1!$A$11</c:f>
              <c:strCache>
                <c:ptCount val="1"/>
                <c:pt idx="0">
                  <c:v>Čehija</c:v>
                </c:pt>
              </c:strCache>
            </c:strRef>
          </c:tx>
          <c:invertIfNegative val="0"/>
          <c:dLbls>
            <c:dLbl>
              <c:idx val="0"/>
              <c:layout>
                <c:manualLayout>
                  <c:x val="5.7024389303214275E-2"/>
                  <c:y val="1.703994263353683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Sheet1!$B$11:$B$11</c:f>
              <c:numCache>
                <c:formatCode>General</c:formatCode>
                <c:ptCount val="1"/>
                <c:pt idx="0">
                  <c:v>1</c:v>
                </c:pt>
              </c:numCache>
            </c:numRef>
          </c:val>
        </c:ser>
        <c:ser>
          <c:idx val="10"/>
          <c:order val="10"/>
          <c:tx>
            <c:strRef>
              <c:f>Sheet1!$A$12</c:f>
              <c:strCache>
                <c:ptCount val="1"/>
                <c:pt idx="0">
                  <c:v>Igaunija</c:v>
                </c:pt>
              </c:strCache>
            </c:strRef>
          </c:tx>
          <c:invertIfNegative val="0"/>
          <c:dLbls>
            <c:dLbl>
              <c:idx val="0"/>
              <c:layout>
                <c:manualLayout>
                  <c:x val="5.4646808365231871E-2"/>
                  <c:y val="2.14843870779813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Sheet1!$B$12:$B$12</c:f>
              <c:numCache>
                <c:formatCode>General</c:formatCode>
                <c:ptCount val="1"/>
                <c:pt idx="0">
                  <c:v>1</c:v>
                </c:pt>
              </c:numCache>
            </c:numRef>
          </c:val>
        </c:ser>
        <c:ser>
          <c:idx val="11"/>
          <c:order val="11"/>
          <c:tx>
            <c:strRef>
              <c:f>Sheet1!$A$13</c:f>
              <c:strCache>
                <c:ptCount val="1"/>
                <c:pt idx="0">
                  <c:v>Baltkrievija</c:v>
                </c:pt>
              </c:strCache>
            </c:strRef>
          </c:tx>
          <c:invertIfNegative val="0"/>
          <c:dLbls>
            <c:dLbl>
              <c:idx val="0"/>
              <c:layout>
                <c:manualLayout>
                  <c:x val="6.2930208237484048E-2"/>
                  <c:y val="2.5928831522425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Sheet1!$B$13:$B$13</c:f>
              <c:numCache>
                <c:formatCode>General</c:formatCode>
                <c:ptCount val="1"/>
                <c:pt idx="0">
                  <c:v>1</c:v>
                </c:pt>
              </c:numCache>
            </c:numRef>
          </c:val>
        </c:ser>
        <c:ser>
          <c:idx val="12"/>
          <c:order val="12"/>
          <c:tx>
            <c:strRef>
              <c:f>Sheet1!$A$14</c:f>
              <c:strCache>
                <c:ptCount val="1"/>
                <c:pt idx="0">
                  <c:v>Krievija</c:v>
                </c:pt>
              </c:strCache>
            </c:strRef>
          </c:tx>
          <c:invertIfNegative val="0"/>
          <c:dLbls>
            <c:dLbl>
              <c:idx val="0"/>
              <c:layout>
                <c:manualLayout>
                  <c:x val="7.1213608109736121E-2"/>
                  <c:y val="2.14843870779813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Sheet1!$B$14:$B$14</c:f>
              <c:numCache>
                <c:formatCode>General</c:formatCode>
                <c:ptCount val="1"/>
                <c:pt idx="0">
                  <c:v>1</c:v>
                </c:pt>
              </c:numCache>
            </c:numRef>
          </c:val>
        </c:ser>
        <c:ser>
          <c:idx val="13"/>
          <c:order val="13"/>
          <c:tx>
            <c:strRef>
              <c:f>Sheet1!$A$15</c:f>
              <c:strCache>
                <c:ptCount val="1"/>
                <c:pt idx="0">
                  <c:v>Lietuva</c:v>
                </c:pt>
              </c:strCache>
            </c:strRef>
          </c:tx>
          <c:invertIfNegative val="0"/>
          <c:dLbls>
            <c:dLbl>
              <c:idx val="0"/>
              <c:layout>
                <c:manualLayout>
                  <c:x val="7.7364811819941356E-2"/>
                  <c:y val="2.5928831522425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Sheet1!$B$15:$B$15</c:f>
              <c:numCache>
                <c:formatCode>General</c:formatCode>
                <c:ptCount val="1"/>
                <c:pt idx="0">
                  <c:v>1</c:v>
                </c:pt>
              </c:numCache>
            </c:numRef>
          </c:val>
        </c:ser>
        <c:ser>
          <c:idx val="14"/>
          <c:order val="14"/>
          <c:tx>
            <c:strRef>
              <c:f>Sheet1!$A$16</c:f>
              <c:strCache>
                <c:ptCount val="1"/>
                <c:pt idx="0">
                  <c:v>Norvēģija</c:v>
                </c:pt>
              </c:strCache>
            </c:strRef>
          </c:tx>
          <c:invertIfNegative val="0"/>
          <c:dLbls>
            <c:dLbl>
              <c:idx val="0"/>
              <c:layout>
                <c:manualLayout>
                  <c:x val="8.5305923278568271E-2"/>
                  <c:y val="1.382740478235584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Sheet1!$B$16:$B$16</c:f>
              <c:numCache>
                <c:formatCode>General</c:formatCode>
                <c:ptCount val="1"/>
                <c:pt idx="0">
                  <c:v>1</c:v>
                </c:pt>
              </c:numCache>
            </c:numRef>
          </c:val>
        </c:ser>
        <c:ser>
          <c:idx val="16"/>
          <c:order val="15"/>
          <c:tx>
            <c:strRef>
              <c:f>Sheet1!$A$17</c:f>
              <c:strCache>
                <c:ptCount val="1"/>
                <c:pt idx="0">
                  <c:v>Ukraina</c:v>
                </c:pt>
              </c:strCache>
            </c:strRef>
          </c:tx>
          <c:invertIfNegative val="0"/>
          <c:dLbls>
            <c:dLbl>
              <c:idx val="0"/>
              <c:layout>
                <c:manualLayout>
                  <c:x val="8.3096186851894377E-2"/>
                  <c:y val="2.428003317990911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Sheet1!$B$1:$B$1</c:f>
              <c:numCache>
                <c:formatCode>General</c:formatCode>
                <c:ptCount val="1"/>
              </c:numCache>
            </c:numRef>
          </c:cat>
          <c:val>
            <c:numRef>
              <c:f>Sheet1!$B$17:$B$17</c:f>
              <c:numCache>
                <c:formatCode>General</c:formatCode>
                <c:ptCount val="1"/>
                <c:pt idx="0">
                  <c:v>1</c:v>
                </c:pt>
              </c:numCache>
            </c:numRef>
          </c:val>
        </c:ser>
        <c:dLbls>
          <c:showLegendKey val="0"/>
          <c:showVal val="0"/>
          <c:showCatName val="0"/>
          <c:showSerName val="0"/>
          <c:showPercent val="0"/>
          <c:showBubbleSize val="0"/>
        </c:dLbls>
        <c:gapWidth val="150"/>
        <c:gapDepth val="0"/>
        <c:shape val="box"/>
        <c:axId val="130369792"/>
        <c:axId val="130383872"/>
        <c:axId val="0"/>
      </c:bar3DChart>
      <c:catAx>
        <c:axId val="130369792"/>
        <c:scaling>
          <c:orientation val="minMax"/>
        </c:scaling>
        <c:delete val="0"/>
        <c:axPos val="b"/>
        <c:numFmt formatCode="General" sourceLinked="1"/>
        <c:majorTickMark val="out"/>
        <c:minorTickMark val="none"/>
        <c:tickLblPos val="low"/>
        <c:txPr>
          <a:bodyPr rot="0" vert="horz"/>
          <a:lstStyle/>
          <a:p>
            <a:pPr>
              <a:defRPr/>
            </a:pPr>
            <a:endParaRPr lang="lv-LV"/>
          </a:p>
        </c:txPr>
        <c:crossAx val="130383872"/>
        <c:crosses val="autoZero"/>
        <c:auto val="1"/>
        <c:lblAlgn val="ctr"/>
        <c:lblOffset val="100"/>
        <c:tickLblSkip val="1"/>
        <c:tickMarkSkip val="1"/>
        <c:noMultiLvlLbl val="0"/>
      </c:catAx>
      <c:valAx>
        <c:axId val="130383872"/>
        <c:scaling>
          <c:orientation val="minMax"/>
        </c:scaling>
        <c:delete val="0"/>
        <c:axPos val="l"/>
        <c:majorGridlines/>
        <c:numFmt formatCode="General" sourceLinked="1"/>
        <c:majorTickMark val="out"/>
        <c:minorTickMark val="none"/>
        <c:tickLblPos val="nextTo"/>
        <c:txPr>
          <a:bodyPr rot="0" vert="horz"/>
          <a:lstStyle/>
          <a:p>
            <a:pPr>
              <a:defRPr/>
            </a:pPr>
            <a:endParaRPr lang="lv-LV"/>
          </a:p>
        </c:txPr>
        <c:crossAx val="130369792"/>
        <c:crosses val="autoZero"/>
        <c:crossBetween val="between"/>
      </c:valAx>
    </c:plotArea>
    <c:legend>
      <c:legendPos val="r"/>
      <c:layout/>
      <c:overlay val="0"/>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plotArea>
      <c:layout/>
      <c:barChart>
        <c:barDir val="col"/>
        <c:grouping val="clustered"/>
        <c:varyColors val="0"/>
        <c:ser>
          <c:idx val="0"/>
          <c:order val="0"/>
          <c:tx>
            <c:strRef>
              <c:f>Sheet1!$B$1</c:f>
              <c:strCache>
                <c:ptCount val="1"/>
                <c:pt idx="0">
                  <c:v>ierēdņi</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Sheet1!$B$2:$B$7</c:f>
              <c:numCache>
                <c:formatCode>General</c:formatCode>
                <c:ptCount val="6"/>
                <c:pt idx="0">
                  <c:v>152</c:v>
                </c:pt>
                <c:pt idx="1">
                  <c:v>128</c:v>
                </c:pt>
                <c:pt idx="2">
                  <c:v>129</c:v>
                </c:pt>
                <c:pt idx="3">
                  <c:v>129</c:v>
                </c:pt>
                <c:pt idx="4">
                  <c:v>132</c:v>
                </c:pt>
              </c:numCache>
            </c:numRef>
          </c:val>
        </c:ser>
        <c:ser>
          <c:idx val="1"/>
          <c:order val="1"/>
          <c:tx>
            <c:strRef>
              <c:f>Sheet1!$C$1</c:f>
              <c:strCache>
                <c:ptCount val="1"/>
                <c:pt idx="0">
                  <c:v>darbinieki</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Sheet1!$C$2:$C$7</c:f>
              <c:numCache>
                <c:formatCode>General</c:formatCode>
                <c:ptCount val="6"/>
                <c:pt idx="0">
                  <c:v>60</c:v>
                </c:pt>
                <c:pt idx="1">
                  <c:v>48</c:v>
                </c:pt>
                <c:pt idx="2">
                  <c:v>72</c:v>
                </c:pt>
                <c:pt idx="3">
                  <c:v>72</c:v>
                </c:pt>
                <c:pt idx="4">
                  <c:v>71</c:v>
                </c:pt>
              </c:numCache>
            </c:numRef>
          </c:val>
        </c:ser>
        <c:ser>
          <c:idx val="2"/>
          <c:order val="2"/>
          <c:tx>
            <c:strRef>
              <c:f>Sheet1!$D$1</c:f>
              <c:strCache>
                <c:ptCount val="1"/>
                <c:pt idx="0">
                  <c:v>kopā</c:v>
                </c:pt>
              </c:strCache>
            </c:strRef>
          </c:tx>
          <c:invertIfNegative val="0"/>
          <c:dLbls>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numCache>
            </c:numRef>
          </c:cat>
          <c:val>
            <c:numRef>
              <c:f>Sheet1!$D$2:$D$7</c:f>
              <c:numCache>
                <c:formatCode>General</c:formatCode>
                <c:ptCount val="6"/>
                <c:pt idx="0">
                  <c:v>212</c:v>
                </c:pt>
                <c:pt idx="1">
                  <c:v>176</c:v>
                </c:pt>
                <c:pt idx="2">
                  <c:v>201</c:v>
                </c:pt>
                <c:pt idx="3">
                  <c:v>201</c:v>
                </c:pt>
                <c:pt idx="4">
                  <c:v>203</c:v>
                </c:pt>
              </c:numCache>
            </c:numRef>
          </c:val>
        </c:ser>
        <c:dLbls>
          <c:showLegendKey val="0"/>
          <c:showVal val="0"/>
          <c:showCatName val="0"/>
          <c:showSerName val="0"/>
          <c:showPercent val="0"/>
          <c:showBubbleSize val="0"/>
        </c:dLbls>
        <c:gapWidth val="150"/>
        <c:axId val="126780544"/>
        <c:axId val="126782080"/>
      </c:barChart>
      <c:catAx>
        <c:axId val="126780544"/>
        <c:scaling>
          <c:orientation val="minMax"/>
        </c:scaling>
        <c:delete val="0"/>
        <c:axPos val="b"/>
        <c:numFmt formatCode="General" sourceLinked="1"/>
        <c:majorTickMark val="out"/>
        <c:minorTickMark val="none"/>
        <c:tickLblPos val="nextTo"/>
        <c:crossAx val="126782080"/>
        <c:crosses val="autoZero"/>
        <c:auto val="1"/>
        <c:lblAlgn val="ctr"/>
        <c:lblOffset val="100"/>
        <c:noMultiLvlLbl val="0"/>
      </c:catAx>
      <c:valAx>
        <c:axId val="126782080"/>
        <c:scaling>
          <c:orientation val="minMax"/>
        </c:scaling>
        <c:delete val="0"/>
        <c:axPos val="l"/>
        <c:majorGridlines/>
        <c:numFmt formatCode="General" sourceLinked="1"/>
        <c:majorTickMark val="out"/>
        <c:minorTickMark val="none"/>
        <c:tickLblPos val="nextTo"/>
        <c:crossAx val="126780544"/>
        <c:crosses val="autoZero"/>
        <c:crossBetween val="between"/>
      </c:valAx>
    </c:plotArea>
    <c:legend>
      <c:legendPos val="r"/>
      <c:layout/>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plotArea>
      <c:layout/>
      <c:lineChart>
        <c:grouping val="standard"/>
        <c:varyColors val="0"/>
        <c:ser>
          <c:idx val="0"/>
          <c:order val="0"/>
          <c:tx>
            <c:strRef>
              <c:f>Sheet1!$B$1</c:f>
              <c:strCache>
                <c:ptCount val="1"/>
                <c:pt idx="0">
                  <c:v>koeficients</c:v>
                </c:pt>
              </c:strCache>
            </c:strRef>
          </c:tx>
          <c:cat>
            <c:numRef>
              <c:f>Sheet1!$A$2:$A$6</c:f>
              <c:numCache>
                <c:formatCode>General</c:formatCode>
                <c:ptCount val="5"/>
                <c:pt idx="0">
                  <c:v>2008</c:v>
                </c:pt>
                <c:pt idx="1">
                  <c:v>2009</c:v>
                </c:pt>
                <c:pt idx="2">
                  <c:v>2010</c:v>
                </c:pt>
                <c:pt idx="3">
                  <c:v>2011</c:v>
                </c:pt>
                <c:pt idx="4">
                  <c:v>2012</c:v>
                </c:pt>
              </c:numCache>
            </c:numRef>
          </c:cat>
          <c:val>
            <c:numRef>
              <c:f>Sheet1!$B$2:$B$6</c:f>
              <c:numCache>
                <c:formatCode>General</c:formatCode>
                <c:ptCount val="5"/>
                <c:pt idx="0">
                  <c:v>6.0000000000000026E-2</c:v>
                </c:pt>
                <c:pt idx="1">
                  <c:v>3.0000000000000002E-2</c:v>
                </c:pt>
                <c:pt idx="2">
                  <c:v>0.2</c:v>
                </c:pt>
                <c:pt idx="3">
                  <c:v>7.0000000000000021E-2</c:v>
                </c:pt>
                <c:pt idx="4">
                  <c:v>0.1</c:v>
                </c:pt>
              </c:numCache>
            </c:numRef>
          </c:val>
          <c:smooth val="0"/>
        </c:ser>
        <c:dLbls>
          <c:showLegendKey val="0"/>
          <c:showVal val="0"/>
          <c:showCatName val="0"/>
          <c:showSerName val="0"/>
          <c:showPercent val="0"/>
          <c:showBubbleSize val="0"/>
        </c:dLbls>
        <c:marker val="1"/>
        <c:smooth val="0"/>
        <c:axId val="126804736"/>
        <c:axId val="126806272"/>
      </c:lineChart>
      <c:catAx>
        <c:axId val="126804736"/>
        <c:scaling>
          <c:orientation val="minMax"/>
        </c:scaling>
        <c:delete val="0"/>
        <c:axPos val="b"/>
        <c:numFmt formatCode="General" sourceLinked="1"/>
        <c:majorTickMark val="out"/>
        <c:minorTickMark val="none"/>
        <c:tickLblPos val="nextTo"/>
        <c:crossAx val="126806272"/>
        <c:crosses val="autoZero"/>
        <c:auto val="1"/>
        <c:lblAlgn val="ctr"/>
        <c:lblOffset val="100"/>
        <c:noMultiLvlLbl val="0"/>
      </c:catAx>
      <c:valAx>
        <c:axId val="126806272"/>
        <c:scaling>
          <c:orientation val="minMax"/>
        </c:scaling>
        <c:delete val="0"/>
        <c:axPos val="l"/>
        <c:majorGridlines/>
        <c:numFmt formatCode="General" sourceLinked="1"/>
        <c:majorTickMark val="out"/>
        <c:minorTickMark val="none"/>
        <c:tickLblPos val="nextTo"/>
        <c:crossAx val="126804736"/>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plotArea>
      <c:layout/>
      <c:barChart>
        <c:barDir val="col"/>
        <c:grouping val="clustered"/>
        <c:varyColors val="0"/>
        <c:ser>
          <c:idx val="2"/>
          <c:order val="0"/>
          <c:tx>
            <c:strRef>
              <c:f>Sheet1!$B$1</c:f>
              <c:strCache>
                <c:ptCount val="1"/>
                <c:pt idx="0">
                  <c:v> 18 - 25</c:v>
                </c:pt>
              </c:strCache>
            </c:strRef>
          </c:tx>
          <c:invertIfNegative val="0"/>
          <c:cat>
            <c:strRef>
              <c:f>Sheet1!$A$2:$A$6</c:f>
              <c:strCache>
                <c:ptCount val="5"/>
                <c:pt idx="0">
                  <c:v>2008.g.</c:v>
                </c:pt>
                <c:pt idx="1">
                  <c:v>2009.g.</c:v>
                </c:pt>
                <c:pt idx="2">
                  <c:v>2010.g.</c:v>
                </c:pt>
                <c:pt idx="3">
                  <c:v>2011.g.</c:v>
                </c:pt>
                <c:pt idx="4">
                  <c:v>2012.g.</c:v>
                </c:pt>
              </c:strCache>
            </c:strRef>
          </c:cat>
          <c:val>
            <c:numRef>
              <c:f>Sheet1!$B$2:$B$6</c:f>
              <c:numCache>
                <c:formatCode>General</c:formatCode>
                <c:ptCount val="5"/>
                <c:pt idx="0">
                  <c:v>27</c:v>
                </c:pt>
                <c:pt idx="1">
                  <c:v>16</c:v>
                </c:pt>
                <c:pt idx="2">
                  <c:v>14</c:v>
                </c:pt>
                <c:pt idx="3">
                  <c:v>8</c:v>
                </c:pt>
                <c:pt idx="4">
                  <c:v>10</c:v>
                </c:pt>
              </c:numCache>
            </c:numRef>
          </c:val>
        </c:ser>
        <c:ser>
          <c:idx val="3"/>
          <c:order val="1"/>
          <c:tx>
            <c:strRef>
              <c:f>Sheet1!$C$1</c:f>
              <c:strCache>
                <c:ptCount val="1"/>
                <c:pt idx="0">
                  <c:v> 26 - 40</c:v>
                </c:pt>
              </c:strCache>
            </c:strRef>
          </c:tx>
          <c:invertIfNegative val="0"/>
          <c:cat>
            <c:strRef>
              <c:f>Sheet1!$A$2:$A$6</c:f>
              <c:strCache>
                <c:ptCount val="5"/>
                <c:pt idx="0">
                  <c:v>2008.g.</c:v>
                </c:pt>
                <c:pt idx="1">
                  <c:v>2009.g.</c:v>
                </c:pt>
                <c:pt idx="2">
                  <c:v>2010.g.</c:v>
                </c:pt>
                <c:pt idx="3">
                  <c:v>2011.g.</c:v>
                </c:pt>
                <c:pt idx="4">
                  <c:v>2012.g.</c:v>
                </c:pt>
              </c:strCache>
            </c:strRef>
          </c:cat>
          <c:val>
            <c:numRef>
              <c:f>Sheet1!$C$2:$C$6</c:f>
              <c:numCache>
                <c:formatCode>General</c:formatCode>
                <c:ptCount val="5"/>
                <c:pt idx="0">
                  <c:v>49</c:v>
                </c:pt>
                <c:pt idx="1">
                  <c:v>43</c:v>
                </c:pt>
                <c:pt idx="2">
                  <c:v>51</c:v>
                </c:pt>
                <c:pt idx="3">
                  <c:v>56</c:v>
                </c:pt>
                <c:pt idx="4">
                  <c:v>58</c:v>
                </c:pt>
              </c:numCache>
            </c:numRef>
          </c:val>
        </c:ser>
        <c:ser>
          <c:idx val="4"/>
          <c:order val="2"/>
          <c:tx>
            <c:strRef>
              <c:f>Sheet1!$D$1</c:f>
              <c:strCache>
                <c:ptCount val="1"/>
                <c:pt idx="0">
                  <c:v> 41 - 55</c:v>
                </c:pt>
              </c:strCache>
            </c:strRef>
          </c:tx>
          <c:invertIfNegative val="0"/>
          <c:cat>
            <c:strRef>
              <c:f>Sheet1!$A$2:$A$6</c:f>
              <c:strCache>
                <c:ptCount val="5"/>
                <c:pt idx="0">
                  <c:v>2008.g.</c:v>
                </c:pt>
                <c:pt idx="1">
                  <c:v>2009.g.</c:v>
                </c:pt>
                <c:pt idx="2">
                  <c:v>2010.g.</c:v>
                </c:pt>
                <c:pt idx="3">
                  <c:v>2011.g.</c:v>
                </c:pt>
                <c:pt idx="4">
                  <c:v>2012.g.</c:v>
                </c:pt>
              </c:strCache>
            </c:strRef>
          </c:cat>
          <c:val>
            <c:numRef>
              <c:f>Sheet1!$D$2:$D$6</c:f>
              <c:numCache>
                <c:formatCode>General</c:formatCode>
                <c:ptCount val="5"/>
                <c:pt idx="0">
                  <c:v>87</c:v>
                </c:pt>
                <c:pt idx="1">
                  <c:v>78</c:v>
                </c:pt>
                <c:pt idx="2">
                  <c:v>79</c:v>
                </c:pt>
                <c:pt idx="3">
                  <c:v>80</c:v>
                </c:pt>
                <c:pt idx="4">
                  <c:v>77</c:v>
                </c:pt>
              </c:numCache>
            </c:numRef>
          </c:val>
        </c:ser>
        <c:ser>
          <c:idx val="0"/>
          <c:order val="3"/>
          <c:tx>
            <c:strRef>
              <c:f>Sheet1!$E$1</c:f>
              <c:strCache>
                <c:ptCount val="1"/>
                <c:pt idx="0">
                  <c:v> 56 - ...</c:v>
                </c:pt>
              </c:strCache>
            </c:strRef>
          </c:tx>
          <c:invertIfNegative val="0"/>
          <c:cat>
            <c:strRef>
              <c:f>Sheet1!$A$2:$A$6</c:f>
              <c:strCache>
                <c:ptCount val="5"/>
                <c:pt idx="0">
                  <c:v>2008.g.</c:v>
                </c:pt>
                <c:pt idx="1">
                  <c:v>2009.g.</c:v>
                </c:pt>
                <c:pt idx="2">
                  <c:v>2010.g.</c:v>
                </c:pt>
                <c:pt idx="3">
                  <c:v>2011.g.</c:v>
                </c:pt>
                <c:pt idx="4">
                  <c:v>2012.g.</c:v>
                </c:pt>
              </c:strCache>
            </c:strRef>
          </c:cat>
          <c:val>
            <c:numRef>
              <c:f>Sheet1!$E$2:$E$6</c:f>
              <c:numCache>
                <c:formatCode>General</c:formatCode>
                <c:ptCount val="5"/>
                <c:pt idx="0">
                  <c:v>49</c:v>
                </c:pt>
                <c:pt idx="1">
                  <c:v>39</c:v>
                </c:pt>
                <c:pt idx="2">
                  <c:v>48</c:v>
                </c:pt>
                <c:pt idx="3">
                  <c:v>46</c:v>
                </c:pt>
                <c:pt idx="4">
                  <c:v>42</c:v>
                </c:pt>
              </c:numCache>
            </c:numRef>
          </c:val>
        </c:ser>
        <c:dLbls>
          <c:showLegendKey val="0"/>
          <c:showVal val="0"/>
          <c:showCatName val="0"/>
          <c:showSerName val="0"/>
          <c:showPercent val="0"/>
          <c:showBubbleSize val="0"/>
        </c:dLbls>
        <c:gapWidth val="150"/>
        <c:axId val="129286144"/>
        <c:axId val="129287680"/>
      </c:barChart>
      <c:catAx>
        <c:axId val="129286144"/>
        <c:scaling>
          <c:orientation val="minMax"/>
        </c:scaling>
        <c:delete val="0"/>
        <c:axPos val="b"/>
        <c:numFmt formatCode="General" sourceLinked="1"/>
        <c:majorTickMark val="out"/>
        <c:minorTickMark val="none"/>
        <c:tickLblPos val="nextTo"/>
        <c:crossAx val="129287680"/>
        <c:crosses val="autoZero"/>
        <c:auto val="1"/>
        <c:lblAlgn val="ctr"/>
        <c:lblOffset val="100"/>
        <c:tickMarkSkip val="2008"/>
        <c:noMultiLvlLbl val="0"/>
      </c:catAx>
      <c:valAx>
        <c:axId val="129287680"/>
        <c:scaling>
          <c:orientation val="minMax"/>
          <c:max val="90"/>
        </c:scaling>
        <c:delete val="0"/>
        <c:axPos val="l"/>
        <c:majorGridlines/>
        <c:numFmt formatCode="General" sourceLinked="1"/>
        <c:majorTickMark val="out"/>
        <c:minorTickMark val="none"/>
        <c:tickLblPos val="nextTo"/>
        <c:crossAx val="129286144"/>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plotArea>
      <c:layout/>
      <c:pieChart>
        <c:varyColors val="1"/>
        <c:ser>
          <c:idx val="0"/>
          <c:order val="0"/>
          <c:dPt>
            <c:idx val="0"/>
            <c:bubble3D val="0"/>
            <c:explosion val="3"/>
          </c:dPt>
          <c:dPt>
            <c:idx val="1"/>
            <c:bubble3D val="0"/>
            <c:explosion val="2"/>
          </c:dPt>
          <c:dPt>
            <c:idx val="2"/>
            <c:bubble3D val="0"/>
            <c:explosion val="4"/>
          </c:dPt>
          <c:dPt>
            <c:idx val="3"/>
            <c:bubble3D val="0"/>
            <c:explosion val="4"/>
          </c:dPt>
          <c:dLbls>
            <c:showLegendKey val="0"/>
            <c:showVal val="1"/>
            <c:showCatName val="0"/>
            <c:showSerName val="0"/>
            <c:showPercent val="0"/>
            <c:showBubbleSize val="0"/>
            <c:showLeaderLines val="1"/>
          </c:dLbls>
          <c:cat>
            <c:strRef>
              <c:f>Sheet1!$A$1:$D$1</c:f>
              <c:strCache>
                <c:ptCount val="4"/>
                <c:pt idx="0">
                  <c:v>Augstākā izglītība</c:v>
                </c:pt>
                <c:pt idx="1">
                  <c:v>Doktora grāds</c:v>
                </c:pt>
                <c:pt idx="2">
                  <c:v>Maģistrs</c:v>
                </c:pt>
                <c:pt idx="3">
                  <c:v>Vidējā, vidējā speciālā</c:v>
                </c:pt>
              </c:strCache>
            </c:strRef>
          </c:cat>
          <c:val>
            <c:numRef>
              <c:f>Sheet1!$A$2:$D$2</c:f>
              <c:numCache>
                <c:formatCode>General</c:formatCode>
                <c:ptCount val="4"/>
                <c:pt idx="0">
                  <c:v>133</c:v>
                </c:pt>
                <c:pt idx="1">
                  <c:v>2</c:v>
                </c:pt>
                <c:pt idx="2">
                  <c:v>34</c:v>
                </c:pt>
                <c:pt idx="3">
                  <c:v>26</c:v>
                </c:pt>
              </c:numCache>
            </c:numRef>
          </c:val>
        </c:ser>
        <c:dLbls>
          <c:showLegendKey val="0"/>
          <c:showVal val="0"/>
          <c:showCatName val="0"/>
          <c:showSerName val="0"/>
          <c:showPercent val="0"/>
          <c:showBubbleSize val="0"/>
          <c:showLeaderLines val="1"/>
        </c:dLbls>
        <c:firstSliceAng val="0"/>
      </c:pieChart>
      <c:spPr>
        <a:noFill/>
        <a:ln w="25395">
          <a:noFill/>
        </a:ln>
      </c:spPr>
    </c:plotArea>
    <c:legend>
      <c:legendPos val="b"/>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Sheet1!$U$2</c:f>
              <c:strCache>
                <c:ptCount val="1"/>
                <c:pt idx="0">
                  <c:v>Pārbaudīto audzēšanas vietu skaits</c:v>
                </c:pt>
              </c:strCache>
            </c:strRef>
          </c:tx>
          <c:dLbls>
            <c:showLegendKey val="0"/>
            <c:showVal val="1"/>
            <c:showCatName val="0"/>
            <c:showSerName val="0"/>
            <c:showPercent val="0"/>
            <c:showBubbleSize val="0"/>
            <c:showLeaderLines val="0"/>
          </c:dLbls>
          <c:cat>
            <c:strRef>
              <c:f>Sheet1!$T$3:$T$16</c:f>
              <c:strCache>
                <c:ptCount val="14"/>
                <c:pt idx="0">
                  <c:v>Āra dekoratīvie koki un krūmi</c:v>
                </c:pt>
                <c:pt idx="1">
                  <c:v>Ābeles, bumbieres</c:v>
                </c:pt>
                <c:pt idx="2">
                  <c:v>Plūmes, ķirši</c:v>
                </c:pt>
                <c:pt idx="3">
                  <c:v>Jāņogas, upenes, ērkšķogas</c:v>
                </c:pt>
                <c:pt idx="4">
                  <c:v>Avenes, kazenes</c:v>
                </c:pt>
                <c:pt idx="5">
                  <c:v>Dekoratīvie augi siltumnīcās</c:v>
                </c:pt>
                <c:pt idx="6">
                  <c:v>Tomātu stādi</c:v>
                </c:pt>
                <c:pt idx="7">
                  <c:v>Priežu stādāmais materiāls (pārbaude sertifikācijai)</c:v>
                </c:pt>
                <c:pt idx="8">
                  <c:v>Zemenes</c:v>
                </c:pt>
                <c:pt idx="9">
                  <c:v>Meža stādāmais materiāls (fitosanitārā pārbaude)</c:v>
                </c:pt>
                <c:pt idx="10">
                  <c:v>Smiltsērkšķi, aronijas, lazdas</c:v>
                </c:pt>
                <c:pt idx="11">
                  <c:v>Sīpolpuķes</c:v>
                </c:pt>
                <c:pt idx="12">
                  <c:v>Dzērvenes, zilenes</c:v>
                </c:pt>
                <c:pt idx="13">
                  <c:v>Krizantēmu stādi</c:v>
                </c:pt>
              </c:strCache>
            </c:strRef>
          </c:cat>
          <c:val>
            <c:numRef>
              <c:f>Sheet1!$U$3:$U$16</c:f>
              <c:numCache>
                <c:formatCode>General</c:formatCode>
                <c:ptCount val="14"/>
                <c:pt idx="0">
                  <c:v>87</c:v>
                </c:pt>
                <c:pt idx="1">
                  <c:v>71</c:v>
                </c:pt>
                <c:pt idx="2">
                  <c:v>59</c:v>
                </c:pt>
                <c:pt idx="3">
                  <c:v>52</c:v>
                </c:pt>
                <c:pt idx="4">
                  <c:v>49</c:v>
                </c:pt>
                <c:pt idx="5">
                  <c:v>48</c:v>
                </c:pt>
                <c:pt idx="6">
                  <c:v>41</c:v>
                </c:pt>
                <c:pt idx="7">
                  <c:v>33</c:v>
                </c:pt>
                <c:pt idx="8">
                  <c:v>30</c:v>
                </c:pt>
                <c:pt idx="9">
                  <c:v>28</c:v>
                </c:pt>
                <c:pt idx="10">
                  <c:v>21</c:v>
                </c:pt>
                <c:pt idx="11">
                  <c:v>19</c:v>
                </c:pt>
                <c:pt idx="12">
                  <c:v>12</c:v>
                </c:pt>
                <c:pt idx="13">
                  <c:v>6</c:v>
                </c:pt>
              </c:numCache>
            </c:numRef>
          </c:val>
        </c:ser>
        <c:ser>
          <c:idx val="1"/>
          <c:order val="1"/>
          <c:tx>
            <c:strRef>
              <c:f>Sheet1!$V$2</c:f>
              <c:strCache>
                <c:ptCount val="1"/>
                <c:pt idx="0">
                  <c:v>Pārbaužu skaits</c:v>
                </c:pt>
              </c:strCache>
            </c:strRef>
          </c:tx>
          <c:cat>
            <c:strRef>
              <c:f>Sheet1!$T$3:$T$16</c:f>
              <c:strCache>
                <c:ptCount val="14"/>
                <c:pt idx="0">
                  <c:v>Āra dekoratīvie koki un krūmi</c:v>
                </c:pt>
                <c:pt idx="1">
                  <c:v>Ābeles, bumbieres</c:v>
                </c:pt>
                <c:pt idx="2">
                  <c:v>Plūmes, ķirši</c:v>
                </c:pt>
                <c:pt idx="3">
                  <c:v>Jāņogas, upenes, ērkšķogas</c:v>
                </c:pt>
                <c:pt idx="4">
                  <c:v>Avenes, kazenes</c:v>
                </c:pt>
                <c:pt idx="5">
                  <c:v>Dekoratīvie augi siltumnīcās</c:v>
                </c:pt>
                <c:pt idx="6">
                  <c:v>Tomātu stādi</c:v>
                </c:pt>
                <c:pt idx="7">
                  <c:v>Priežu stādāmais materiāls (pārbaude sertifikācijai)</c:v>
                </c:pt>
                <c:pt idx="8">
                  <c:v>Zemenes</c:v>
                </c:pt>
                <c:pt idx="9">
                  <c:v>Meža stādāmais materiāls (fitosanitārā pārbaude)</c:v>
                </c:pt>
                <c:pt idx="10">
                  <c:v>Smiltsērkšķi, aronijas, lazdas</c:v>
                </c:pt>
                <c:pt idx="11">
                  <c:v>Sīpolpuķes</c:v>
                </c:pt>
                <c:pt idx="12">
                  <c:v>Dzērvenes, zilenes</c:v>
                </c:pt>
                <c:pt idx="13">
                  <c:v>Krizantēmu stādi</c:v>
                </c:pt>
              </c:strCache>
            </c:strRef>
          </c:cat>
          <c:val>
            <c:numRef>
              <c:f>Sheet1!$V$3:$V$16</c:f>
              <c:numCache>
                <c:formatCode>General</c:formatCode>
                <c:ptCount val="14"/>
                <c:pt idx="0">
                  <c:v>189</c:v>
                </c:pt>
                <c:pt idx="1">
                  <c:v>149</c:v>
                </c:pt>
                <c:pt idx="2">
                  <c:v>119</c:v>
                </c:pt>
                <c:pt idx="3">
                  <c:v>86</c:v>
                </c:pt>
                <c:pt idx="4">
                  <c:v>69</c:v>
                </c:pt>
                <c:pt idx="5">
                  <c:v>49</c:v>
                </c:pt>
                <c:pt idx="6">
                  <c:v>41</c:v>
                </c:pt>
                <c:pt idx="7">
                  <c:v>29</c:v>
                </c:pt>
                <c:pt idx="8">
                  <c:v>40</c:v>
                </c:pt>
                <c:pt idx="9">
                  <c:v>39</c:v>
                </c:pt>
                <c:pt idx="10">
                  <c:v>26</c:v>
                </c:pt>
                <c:pt idx="11">
                  <c:v>26</c:v>
                </c:pt>
                <c:pt idx="12">
                  <c:v>16</c:v>
                </c:pt>
                <c:pt idx="13">
                  <c:v>10</c:v>
                </c:pt>
              </c:numCache>
            </c:numRef>
          </c:val>
        </c:ser>
        <c:dLbls>
          <c:showLegendKey val="0"/>
          <c:showVal val="0"/>
          <c:showCatName val="0"/>
          <c:showSerName val="0"/>
          <c:showPercent val="0"/>
          <c:showBubbleSize val="0"/>
          <c:showLeaderLines val="0"/>
        </c:dLbls>
        <c:firstSliceAng val="0"/>
      </c:pieChart>
    </c:plotArea>
    <c:legend>
      <c:legendPos val="r"/>
      <c:layout/>
      <c:overlay val="0"/>
      <c:txPr>
        <a:bodyPr/>
        <a:lstStyle/>
        <a:p>
          <a:pPr rtl="0">
            <a:defRPr/>
          </a:pPr>
          <a:endParaRPr lang="lv-LV"/>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Sheet1!$C$3:$C$12</c:f>
              <c:strCache>
                <c:ptCount val="10"/>
                <c:pt idx="0">
                  <c:v>Krievijas Federācija</c:v>
                </c:pt>
                <c:pt idx="1">
                  <c:v>Baltkrievija</c:v>
                </c:pt>
                <c:pt idx="2">
                  <c:v>Norvēģija</c:v>
                </c:pt>
                <c:pt idx="3">
                  <c:v>Turcija</c:v>
                </c:pt>
                <c:pt idx="4">
                  <c:v>Indija</c:v>
                </c:pt>
                <c:pt idx="5">
                  <c:v>Ķīna</c:v>
                </c:pt>
                <c:pt idx="6">
                  <c:v>Amerikas Savienotās Valstis</c:v>
                </c:pt>
                <c:pt idx="7">
                  <c:v>Ukraina</c:v>
                </c:pt>
                <c:pt idx="8">
                  <c:v>Malaizija</c:v>
                </c:pt>
                <c:pt idx="9">
                  <c:v>Pārējās valstis</c:v>
                </c:pt>
              </c:strCache>
            </c:strRef>
          </c:cat>
          <c:val>
            <c:numRef>
              <c:f>Sheet1!$D$3:$D$12</c:f>
              <c:numCache>
                <c:formatCode>General</c:formatCode>
                <c:ptCount val="10"/>
                <c:pt idx="0">
                  <c:v>382</c:v>
                </c:pt>
                <c:pt idx="1">
                  <c:v>66</c:v>
                </c:pt>
                <c:pt idx="2">
                  <c:v>15</c:v>
                </c:pt>
                <c:pt idx="3">
                  <c:v>13</c:v>
                </c:pt>
                <c:pt idx="4">
                  <c:v>11</c:v>
                </c:pt>
                <c:pt idx="5">
                  <c:v>10</c:v>
                </c:pt>
                <c:pt idx="6">
                  <c:v>6</c:v>
                </c:pt>
                <c:pt idx="7">
                  <c:v>6</c:v>
                </c:pt>
                <c:pt idx="8">
                  <c:v>4</c:v>
                </c:pt>
                <c:pt idx="9">
                  <c:v>9</c:v>
                </c:pt>
              </c:numCache>
            </c:numRef>
          </c:val>
        </c:ser>
        <c:dLbls>
          <c:showLegendKey val="0"/>
          <c:showVal val="0"/>
          <c:showCatName val="0"/>
          <c:showSerName val="0"/>
          <c:showPercent val="1"/>
          <c:showBubbleSize val="0"/>
          <c:showLeaderLines val="1"/>
        </c:dLbls>
      </c:pie3DChart>
    </c:plotArea>
    <c:legend>
      <c:legendPos val="t"/>
      <c:layout/>
      <c:overlay val="0"/>
    </c:legend>
    <c:plotVisOnly val="1"/>
    <c:dispBlanksAs val="zero"/>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plotArea>
      <c:layout>
        <c:manualLayout>
          <c:layoutTarget val="inner"/>
          <c:xMode val="edge"/>
          <c:yMode val="edge"/>
          <c:x val="0.12114989733059549"/>
          <c:y val="9.7872340425531917E-2"/>
          <c:w val="0.78028747433264889"/>
          <c:h val="0.74893617021276593"/>
        </c:manualLayout>
      </c:layout>
      <c:barChart>
        <c:barDir val="col"/>
        <c:grouping val="clustered"/>
        <c:varyColors val="0"/>
        <c:ser>
          <c:idx val="0"/>
          <c:order val="0"/>
          <c:tx>
            <c:strRef>
              <c:f>Sheet1!$A$2</c:f>
              <c:strCache>
                <c:ptCount val="1"/>
                <c:pt idx="0">
                  <c:v>Skaits</c:v>
                </c:pt>
              </c:strCache>
            </c:strRef>
          </c:tx>
          <c:invertIfNegative val="0"/>
          <c:dPt>
            <c:idx val="0"/>
            <c:invertIfNegative val="0"/>
            <c:bubble3D val="0"/>
          </c:dPt>
          <c:dPt>
            <c:idx val="1"/>
            <c:invertIfNegative val="0"/>
            <c:bubble3D val="0"/>
          </c:dPt>
          <c:dPt>
            <c:idx val="2"/>
            <c:invertIfNegative val="0"/>
            <c:bubble3D val="0"/>
          </c:dPt>
          <c:dLbls>
            <c:dLbl>
              <c:idx val="0"/>
              <c:layout>
                <c:manualLayout>
                  <c:x val="-4.75931164172192E-3"/>
                  <c:y val="0.31914893617021278"/>
                </c:manualLayout>
              </c:layout>
              <c:dLblPos val="outEnd"/>
              <c:showLegendKey val="0"/>
              <c:showVal val="1"/>
              <c:showCatName val="0"/>
              <c:showSerName val="0"/>
              <c:showPercent val="0"/>
              <c:showBubbleSize val="0"/>
            </c:dLbl>
            <c:dLbl>
              <c:idx val="1"/>
              <c:layout>
                <c:manualLayout>
                  <c:x val="-2.0214245236373231E-3"/>
                  <c:y val="0.26426831118363536"/>
                </c:manualLayout>
              </c:layout>
              <c:dLblPos val="outEnd"/>
              <c:showLegendKey val="0"/>
              <c:showVal val="1"/>
              <c:showCatName val="0"/>
              <c:showSerName val="0"/>
              <c:showPercent val="0"/>
              <c:showBubbleSize val="0"/>
            </c:dLbl>
            <c:dLbl>
              <c:idx val="2"/>
              <c:layout>
                <c:manualLayout>
                  <c:x val="-5.44370167659999E-3"/>
                  <c:y val="0.24938037569547195"/>
                </c:manualLayout>
              </c:layout>
              <c:dLblPos val="outEnd"/>
              <c:showLegendKey val="0"/>
              <c:showVal val="1"/>
              <c:showCatName val="0"/>
              <c:showSerName val="0"/>
              <c:showPercent val="0"/>
              <c:showBubbleSize val="0"/>
            </c:dLbl>
            <c:txPr>
              <a:bodyPr rot="-5400000" vert="horz"/>
              <a:lstStyle/>
              <a:p>
                <a:pPr>
                  <a:defRPr/>
                </a:pPr>
                <a:endParaRPr lang="lv-LV"/>
              </a:p>
            </c:txPr>
            <c:showLegendKey val="0"/>
            <c:showVal val="1"/>
            <c:showCatName val="0"/>
            <c:showSerName val="0"/>
            <c:showPercent val="0"/>
            <c:showBubbleSize val="0"/>
            <c:showLeaderLines val="0"/>
          </c:dLbls>
          <c:cat>
            <c:strRef>
              <c:f>Sheet1!$B$1:$D$1</c:f>
              <c:strCache>
                <c:ptCount val="3"/>
                <c:pt idx="0">
                  <c:v>Kartupeļi</c:v>
                </c:pt>
                <c:pt idx="1">
                  <c:v>Lopbarības augi</c:v>
                </c:pt>
                <c:pt idx="2">
                  <c:v>Labības</c:v>
                </c:pt>
              </c:strCache>
            </c:strRef>
          </c:cat>
          <c:val>
            <c:numRef>
              <c:f>Sheet1!$B$2:$D$2</c:f>
              <c:numCache>
                <c:formatCode>General</c:formatCode>
                <c:ptCount val="3"/>
                <c:pt idx="0">
                  <c:v>27599</c:v>
                </c:pt>
                <c:pt idx="1">
                  <c:v>24125</c:v>
                </c:pt>
                <c:pt idx="2">
                  <c:v>24108</c:v>
                </c:pt>
              </c:numCache>
            </c:numRef>
          </c:val>
        </c:ser>
        <c:dLbls>
          <c:showLegendKey val="0"/>
          <c:showVal val="1"/>
          <c:showCatName val="0"/>
          <c:showSerName val="0"/>
          <c:showPercent val="0"/>
          <c:showBubbleSize val="0"/>
        </c:dLbls>
        <c:gapWidth val="150"/>
        <c:axId val="129749376"/>
        <c:axId val="129752064"/>
      </c:barChart>
      <c:catAx>
        <c:axId val="129749376"/>
        <c:scaling>
          <c:orientation val="minMax"/>
        </c:scaling>
        <c:delete val="0"/>
        <c:axPos val="b"/>
        <c:numFmt formatCode="General" sourceLinked="1"/>
        <c:majorTickMark val="out"/>
        <c:minorTickMark val="none"/>
        <c:tickLblPos val="nextTo"/>
        <c:txPr>
          <a:bodyPr rot="0" vert="horz"/>
          <a:lstStyle/>
          <a:p>
            <a:pPr>
              <a:defRPr/>
            </a:pPr>
            <a:endParaRPr lang="lv-LV"/>
          </a:p>
        </c:txPr>
        <c:crossAx val="129752064"/>
        <c:crosses val="autoZero"/>
        <c:auto val="1"/>
        <c:lblAlgn val="ctr"/>
        <c:lblOffset val="100"/>
        <c:tickLblSkip val="1"/>
        <c:tickMarkSkip val="1"/>
        <c:noMultiLvlLbl val="0"/>
      </c:catAx>
      <c:valAx>
        <c:axId val="129752064"/>
        <c:scaling>
          <c:orientation val="minMax"/>
        </c:scaling>
        <c:delete val="0"/>
        <c:axPos val="l"/>
        <c:majorGridlines/>
        <c:numFmt formatCode="General" sourceLinked="1"/>
        <c:majorTickMark val="out"/>
        <c:minorTickMark val="none"/>
        <c:tickLblPos val="nextTo"/>
        <c:txPr>
          <a:bodyPr rot="0" vert="horz"/>
          <a:lstStyle/>
          <a:p>
            <a:pPr>
              <a:defRPr/>
            </a:pPr>
            <a:endParaRPr lang="lv-LV"/>
          </a:p>
        </c:txPr>
        <c:crossAx val="129749376"/>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15"/>
      <c:hPercent val="57"/>
      <c:rotY val="20"/>
      <c:depthPercent val="100"/>
      <c:rAngAx val="1"/>
    </c:view3D>
    <c:floor>
      <c:thickness val="0"/>
    </c:floor>
    <c:sideWall>
      <c:thickness val="0"/>
    </c:sideWall>
    <c:backWall>
      <c:thickness val="0"/>
    </c:backWall>
    <c:plotArea>
      <c:layout/>
      <c:bar3DChart>
        <c:barDir val="col"/>
        <c:grouping val="clustered"/>
        <c:varyColors val="0"/>
        <c:ser>
          <c:idx val="1"/>
          <c:order val="0"/>
          <c:tx>
            <c:strRef>
              <c:f>Sheet1!$A$2</c:f>
              <c:strCache>
                <c:ptCount val="1"/>
                <c:pt idx="0">
                  <c:v>2008</c:v>
                </c:pt>
              </c:strCache>
            </c:strRef>
          </c:tx>
          <c:invertIfNegative val="0"/>
          <c:cat>
            <c:strRef>
              <c:f>Sheet1!$B$1:$D$1</c:f>
              <c:strCache>
                <c:ptCount val="3"/>
                <c:pt idx="0">
                  <c:v>Kartupeļi</c:v>
                </c:pt>
                <c:pt idx="1">
                  <c:v>Lopbarības augi</c:v>
                </c:pt>
                <c:pt idx="2">
                  <c:v>Labības</c:v>
                </c:pt>
              </c:strCache>
            </c:strRef>
          </c:cat>
          <c:val>
            <c:numRef>
              <c:f>Sheet1!$B$2:$D$2</c:f>
              <c:numCache>
                <c:formatCode>General</c:formatCode>
                <c:ptCount val="3"/>
                <c:pt idx="0">
                  <c:v>29030</c:v>
                </c:pt>
                <c:pt idx="1">
                  <c:v>40759</c:v>
                </c:pt>
                <c:pt idx="2">
                  <c:v>54513</c:v>
                </c:pt>
              </c:numCache>
            </c:numRef>
          </c:val>
        </c:ser>
        <c:ser>
          <c:idx val="2"/>
          <c:order val="1"/>
          <c:tx>
            <c:strRef>
              <c:f>Sheet1!$A$3</c:f>
              <c:strCache>
                <c:ptCount val="1"/>
                <c:pt idx="0">
                  <c:v>2009</c:v>
                </c:pt>
              </c:strCache>
            </c:strRef>
          </c:tx>
          <c:invertIfNegative val="0"/>
          <c:cat>
            <c:strRef>
              <c:f>Sheet1!$B$1:$D$1</c:f>
              <c:strCache>
                <c:ptCount val="3"/>
                <c:pt idx="0">
                  <c:v>Kartupeļi</c:v>
                </c:pt>
                <c:pt idx="1">
                  <c:v>Lopbarības augi</c:v>
                </c:pt>
                <c:pt idx="2">
                  <c:v>Labības</c:v>
                </c:pt>
              </c:strCache>
            </c:strRef>
          </c:cat>
          <c:val>
            <c:numRef>
              <c:f>Sheet1!$B$3:$D$3</c:f>
              <c:numCache>
                <c:formatCode>General</c:formatCode>
                <c:ptCount val="3"/>
                <c:pt idx="0">
                  <c:v>28714</c:v>
                </c:pt>
                <c:pt idx="1">
                  <c:v>34796</c:v>
                </c:pt>
                <c:pt idx="2">
                  <c:v>27472</c:v>
                </c:pt>
              </c:numCache>
            </c:numRef>
          </c:val>
        </c:ser>
        <c:ser>
          <c:idx val="3"/>
          <c:order val="2"/>
          <c:tx>
            <c:strRef>
              <c:f>Sheet1!$A$4</c:f>
              <c:strCache>
                <c:ptCount val="1"/>
                <c:pt idx="0">
                  <c:v>2010</c:v>
                </c:pt>
              </c:strCache>
            </c:strRef>
          </c:tx>
          <c:invertIfNegative val="0"/>
          <c:cat>
            <c:strRef>
              <c:f>Sheet1!$B$1:$D$1</c:f>
              <c:strCache>
                <c:ptCount val="3"/>
                <c:pt idx="0">
                  <c:v>Kartupeļi</c:v>
                </c:pt>
                <c:pt idx="1">
                  <c:v>Lopbarības augi</c:v>
                </c:pt>
                <c:pt idx="2">
                  <c:v>Labības</c:v>
                </c:pt>
              </c:strCache>
            </c:strRef>
          </c:cat>
          <c:val>
            <c:numRef>
              <c:f>Sheet1!$B$4:$D$4</c:f>
              <c:numCache>
                <c:formatCode>General</c:formatCode>
                <c:ptCount val="3"/>
                <c:pt idx="0">
                  <c:v>15886</c:v>
                </c:pt>
                <c:pt idx="1">
                  <c:v>11702</c:v>
                </c:pt>
                <c:pt idx="2">
                  <c:v>7115</c:v>
                </c:pt>
              </c:numCache>
            </c:numRef>
          </c:val>
        </c:ser>
        <c:ser>
          <c:idx val="4"/>
          <c:order val="3"/>
          <c:tx>
            <c:strRef>
              <c:f>Sheet1!$A$5</c:f>
              <c:strCache>
                <c:ptCount val="1"/>
                <c:pt idx="0">
                  <c:v>2011</c:v>
                </c:pt>
              </c:strCache>
            </c:strRef>
          </c:tx>
          <c:invertIfNegative val="0"/>
          <c:cat>
            <c:strRef>
              <c:f>Sheet1!$B$1:$D$1</c:f>
              <c:strCache>
                <c:ptCount val="3"/>
                <c:pt idx="0">
                  <c:v>Kartupeļi</c:v>
                </c:pt>
                <c:pt idx="1">
                  <c:v>Lopbarības augi</c:v>
                </c:pt>
                <c:pt idx="2">
                  <c:v>Labības</c:v>
                </c:pt>
              </c:strCache>
            </c:strRef>
          </c:cat>
          <c:val>
            <c:numRef>
              <c:f>Sheet1!$B$5:$D$5</c:f>
              <c:numCache>
                <c:formatCode>General</c:formatCode>
                <c:ptCount val="3"/>
                <c:pt idx="0">
                  <c:v>22743</c:v>
                </c:pt>
                <c:pt idx="1">
                  <c:v>23714</c:v>
                </c:pt>
                <c:pt idx="2">
                  <c:v>19668</c:v>
                </c:pt>
              </c:numCache>
            </c:numRef>
          </c:val>
        </c:ser>
        <c:ser>
          <c:idx val="5"/>
          <c:order val="4"/>
          <c:tx>
            <c:strRef>
              <c:f>Sheet1!$A$6</c:f>
              <c:strCache>
                <c:ptCount val="1"/>
                <c:pt idx="0">
                  <c:v>2012</c:v>
                </c:pt>
              </c:strCache>
            </c:strRef>
          </c:tx>
          <c:invertIfNegative val="0"/>
          <c:cat>
            <c:strRef>
              <c:f>Sheet1!$B$1:$D$1</c:f>
              <c:strCache>
                <c:ptCount val="3"/>
                <c:pt idx="0">
                  <c:v>Kartupeļi</c:v>
                </c:pt>
                <c:pt idx="1">
                  <c:v>Lopbarības augi</c:v>
                </c:pt>
                <c:pt idx="2">
                  <c:v>Labības</c:v>
                </c:pt>
              </c:strCache>
            </c:strRef>
          </c:cat>
          <c:val>
            <c:numRef>
              <c:f>Sheet1!$B$6:$D$6</c:f>
              <c:numCache>
                <c:formatCode>General</c:formatCode>
                <c:ptCount val="3"/>
                <c:pt idx="0">
                  <c:v>27599</c:v>
                </c:pt>
                <c:pt idx="1">
                  <c:v>24125</c:v>
                </c:pt>
                <c:pt idx="2">
                  <c:v>24108</c:v>
                </c:pt>
              </c:numCache>
            </c:numRef>
          </c:val>
        </c:ser>
        <c:dLbls>
          <c:showLegendKey val="0"/>
          <c:showVal val="0"/>
          <c:showCatName val="0"/>
          <c:showSerName val="0"/>
          <c:showPercent val="0"/>
          <c:showBubbleSize val="0"/>
        </c:dLbls>
        <c:gapWidth val="150"/>
        <c:shape val="box"/>
        <c:axId val="129804160"/>
        <c:axId val="129805696"/>
        <c:axId val="0"/>
      </c:bar3DChart>
      <c:catAx>
        <c:axId val="129804160"/>
        <c:scaling>
          <c:orientation val="minMax"/>
        </c:scaling>
        <c:delete val="0"/>
        <c:axPos val="b"/>
        <c:numFmt formatCode="General" sourceLinked="1"/>
        <c:majorTickMark val="out"/>
        <c:minorTickMark val="none"/>
        <c:tickLblPos val="low"/>
        <c:txPr>
          <a:bodyPr rot="0" vert="horz"/>
          <a:lstStyle/>
          <a:p>
            <a:pPr>
              <a:defRPr/>
            </a:pPr>
            <a:endParaRPr lang="lv-LV"/>
          </a:p>
        </c:txPr>
        <c:crossAx val="129805696"/>
        <c:crosses val="autoZero"/>
        <c:auto val="1"/>
        <c:lblAlgn val="ctr"/>
        <c:lblOffset val="100"/>
        <c:tickLblSkip val="1"/>
        <c:tickMarkSkip val="1"/>
        <c:noMultiLvlLbl val="0"/>
      </c:catAx>
      <c:valAx>
        <c:axId val="129805696"/>
        <c:scaling>
          <c:orientation val="minMax"/>
        </c:scaling>
        <c:delete val="0"/>
        <c:axPos val="l"/>
        <c:majorGridlines/>
        <c:numFmt formatCode="General" sourceLinked="1"/>
        <c:majorTickMark val="out"/>
        <c:minorTickMark val="none"/>
        <c:tickLblPos val="nextTo"/>
        <c:txPr>
          <a:bodyPr rot="0" vert="horz"/>
          <a:lstStyle/>
          <a:p>
            <a:pPr>
              <a:defRPr/>
            </a:pPr>
            <a:endParaRPr lang="lv-LV"/>
          </a:p>
        </c:txPr>
        <c:crossAx val="129804160"/>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0.4125</cdr:x>
      <cdr:y>0.57</cdr:y>
    </cdr:from>
    <cdr:to>
      <cdr:x>0.41675</cdr:x>
      <cdr:y>0.6455</cdr:y>
    </cdr:to>
    <cdr:sp macro="" textlink="">
      <cdr:nvSpPr>
        <cdr:cNvPr id="1025" name="Text Box 1"/>
        <cdr:cNvSpPr txBox="1">
          <a:spLocks xmlns:a="http://schemas.openxmlformats.org/drawingml/2006/main" noChangeArrowheads="1"/>
        </cdr:cNvSpPr>
      </cdr:nvSpPr>
      <cdr:spPr bwMode="auto">
        <a:xfrm xmlns:a="http://schemas.openxmlformats.org/drawingml/2006/main">
          <a:off x="1842730" y="1221581"/>
          <a:ext cx="18986" cy="1618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1000" b="1" i="0" u="none" strike="noStrike" baseline="0">
              <a:solidFill>
                <a:srgbClr val="000000"/>
              </a:solidFill>
              <a:latin typeface="Arial"/>
              <a:cs typeface="Arial"/>
            </a:rPr>
            <a:t> </a:t>
          </a:r>
          <a:endParaRPr lang="lv-LV"/>
        </a:p>
      </cdr:txBody>
    </cdr:sp>
  </cdr:relSizeAnchor>
  <cdr:relSizeAnchor xmlns:cdr="http://schemas.openxmlformats.org/drawingml/2006/chartDrawing">
    <cdr:from>
      <cdr:x>0.4125</cdr:x>
      <cdr:y>0.494</cdr:y>
    </cdr:from>
    <cdr:to>
      <cdr:x>0.41675</cdr:x>
      <cdr:y>0.5695</cdr:y>
    </cdr:to>
    <cdr:sp macro="" textlink="">
      <cdr:nvSpPr>
        <cdr:cNvPr id="1026" name="Text Box 2"/>
        <cdr:cNvSpPr txBox="1">
          <a:spLocks xmlns:a="http://schemas.openxmlformats.org/drawingml/2006/main" noChangeArrowheads="1"/>
        </cdr:cNvSpPr>
      </cdr:nvSpPr>
      <cdr:spPr bwMode="auto">
        <a:xfrm xmlns:a="http://schemas.openxmlformats.org/drawingml/2006/main">
          <a:off x="1842730" y="1058704"/>
          <a:ext cx="18986" cy="1618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1000" b="1" i="0" u="none" strike="noStrike" baseline="0">
              <a:solidFill>
                <a:srgbClr val="000000"/>
              </a:solidFill>
              <a:latin typeface="Arial"/>
              <a:cs typeface="Arial"/>
            </a:rPr>
            <a:t>                                               </a:t>
          </a:r>
          <a:endParaRPr lang="lv-LV"/>
        </a:p>
      </cdr:txBody>
    </cdr:sp>
  </cdr:relSizeAnchor>
  <cdr:relSizeAnchor xmlns:cdr="http://schemas.openxmlformats.org/drawingml/2006/chartDrawing">
    <cdr:from>
      <cdr:x>0.4125</cdr:x>
      <cdr:y>0.494</cdr:y>
    </cdr:from>
    <cdr:to>
      <cdr:x>0.41675</cdr:x>
      <cdr:y>0.5695</cdr:y>
    </cdr:to>
    <cdr:sp macro="" textlink="">
      <cdr:nvSpPr>
        <cdr:cNvPr id="1027" name="Text Box 3"/>
        <cdr:cNvSpPr txBox="1">
          <a:spLocks xmlns:a="http://schemas.openxmlformats.org/drawingml/2006/main" noChangeArrowheads="1"/>
        </cdr:cNvSpPr>
      </cdr:nvSpPr>
      <cdr:spPr bwMode="auto">
        <a:xfrm xmlns:a="http://schemas.openxmlformats.org/drawingml/2006/main">
          <a:off x="1842730" y="1058704"/>
          <a:ext cx="18986" cy="1618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1000" b="1" i="0" u="none" strike="noStrike" baseline="0">
              <a:solidFill>
                <a:srgbClr val="000000"/>
              </a:solidFill>
              <a:latin typeface="Arial"/>
              <a:cs typeface="Arial"/>
            </a:rPr>
            <a:t>                         </a:t>
          </a:r>
          <a:endParaRPr lang="lv-LV"/>
        </a:p>
      </cdr:txBody>
    </cdr:sp>
  </cdr:relSizeAnchor>
  <cdr:relSizeAnchor xmlns:cdr="http://schemas.openxmlformats.org/drawingml/2006/chartDrawing">
    <cdr:from>
      <cdr:x>0.4125</cdr:x>
      <cdr:y>0.494</cdr:y>
    </cdr:from>
    <cdr:to>
      <cdr:x>0.41675</cdr:x>
      <cdr:y>0.5695</cdr:y>
    </cdr:to>
    <cdr:sp macro="" textlink="">
      <cdr:nvSpPr>
        <cdr:cNvPr id="1028" name="Text Box 4"/>
        <cdr:cNvSpPr txBox="1">
          <a:spLocks xmlns:a="http://schemas.openxmlformats.org/drawingml/2006/main" noChangeArrowheads="1"/>
        </cdr:cNvSpPr>
      </cdr:nvSpPr>
      <cdr:spPr bwMode="auto">
        <a:xfrm xmlns:a="http://schemas.openxmlformats.org/drawingml/2006/main">
          <a:off x="1842730" y="1058704"/>
          <a:ext cx="18986" cy="1618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1000" b="1" i="0" u="none" strike="noStrike" baseline="0">
              <a:solidFill>
                <a:srgbClr val="000000"/>
              </a:solidFill>
              <a:latin typeface="Arial"/>
              <a:cs typeface="Arial"/>
            </a:rPr>
            <a:t>                            </a:t>
          </a:r>
          <a:endParaRPr lang="lv-LV"/>
        </a:p>
      </cdr:txBody>
    </cdr:sp>
  </cdr:relSizeAnchor>
  <cdr:relSizeAnchor xmlns:cdr="http://schemas.openxmlformats.org/drawingml/2006/chartDrawing">
    <cdr:from>
      <cdr:x>0.4125</cdr:x>
      <cdr:y>0.494</cdr:y>
    </cdr:from>
    <cdr:to>
      <cdr:x>0.41675</cdr:x>
      <cdr:y>0.5695</cdr:y>
    </cdr:to>
    <cdr:sp macro="" textlink="">
      <cdr:nvSpPr>
        <cdr:cNvPr id="1029" name="Text Box 5"/>
        <cdr:cNvSpPr txBox="1">
          <a:spLocks xmlns:a="http://schemas.openxmlformats.org/drawingml/2006/main" noChangeArrowheads="1"/>
        </cdr:cNvSpPr>
      </cdr:nvSpPr>
      <cdr:spPr bwMode="auto">
        <a:xfrm xmlns:a="http://schemas.openxmlformats.org/drawingml/2006/main">
          <a:off x="1842730" y="1058704"/>
          <a:ext cx="18986" cy="1618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1000" b="1" i="0" u="none" strike="noStrike" baseline="0">
              <a:solidFill>
                <a:srgbClr val="000000"/>
              </a:solidFill>
              <a:latin typeface="Arial"/>
              <a:cs typeface="Arial"/>
            </a:rPr>
            <a:t>                                  </a:t>
          </a:r>
          <a:endParaRPr lang="lv-LV"/>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FBECB-C672-49B4-AA93-4EA7E73D0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105</Pages>
  <Words>29833</Words>
  <Characters>206962</Characters>
  <Application>Microsoft Office Word</Application>
  <DocSecurity>0</DocSecurity>
  <Lines>1724</Lines>
  <Paragraphs>472</Paragraphs>
  <ScaleCrop>false</ScaleCrop>
  <HeadingPairs>
    <vt:vector size="2" baseType="variant">
      <vt:variant>
        <vt:lpstr>Title</vt:lpstr>
      </vt:variant>
      <vt:variant>
        <vt:i4>1</vt:i4>
      </vt:variant>
    </vt:vector>
  </HeadingPairs>
  <TitlesOfParts>
    <vt:vector size="1" baseType="lpstr">
      <vt:lpstr>LR ZEMKOPĪBAS MINISTRIJA</vt:lpstr>
    </vt:vector>
  </TitlesOfParts>
  <Company>vaad</Company>
  <LinksUpToDate>false</LinksUpToDate>
  <CharactersWithSpaces>236323</CharactersWithSpaces>
  <SharedDoc>false</SharedDoc>
  <HLinks>
    <vt:vector size="96" baseType="variant">
      <vt:variant>
        <vt:i4>2359336</vt:i4>
      </vt:variant>
      <vt:variant>
        <vt:i4>138</vt:i4>
      </vt:variant>
      <vt:variant>
        <vt:i4>0</vt:i4>
      </vt:variant>
      <vt:variant>
        <vt:i4>5</vt:i4>
      </vt:variant>
      <vt:variant>
        <vt:lpwstr>http://www.vaad.gov.lv/sakums/augu-aizsardziba/augu-aizsardziba/lauksaimniecibas-produktu-integreta-audzesana.aspx</vt:lpwstr>
      </vt:variant>
      <vt:variant>
        <vt:lpwstr/>
      </vt:variant>
      <vt:variant>
        <vt:i4>7077920</vt:i4>
      </vt:variant>
      <vt:variant>
        <vt:i4>135</vt:i4>
      </vt:variant>
      <vt:variant>
        <vt:i4>0</vt:i4>
      </vt:variant>
      <vt:variant>
        <vt:i4>5</vt:i4>
      </vt:variant>
      <vt:variant>
        <vt:lpwstr>http://www.vaad.gov.lv/sakums/augu-aizsardziba/augu-aizsardziba/apmacibas-par-augu-aizsardzibas-zinasanu-minimuma-apgusanu.aspx</vt:lpwstr>
      </vt:variant>
      <vt:variant>
        <vt:lpwstr/>
      </vt:variant>
      <vt:variant>
        <vt:i4>2424872</vt:i4>
      </vt:variant>
      <vt:variant>
        <vt:i4>87</vt:i4>
      </vt:variant>
      <vt:variant>
        <vt:i4>0</vt:i4>
      </vt:variant>
      <vt:variant>
        <vt:i4>5</vt:i4>
      </vt:variant>
      <vt:variant>
        <vt:lpwstr>http://www.vaad.gov.lv/</vt:lpwstr>
      </vt:variant>
      <vt:variant>
        <vt:lpwstr/>
      </vt:variant>
      <vt:variant>
        <vt:i4>1179705</vt:i4>
      </vt:variant>
      <vt:variant>
        <vt:i4>74</vt:i4>
      </vt:variant>
      <vt:variant>
        <vt:i4>0</vt:i4>
      </vt:variant>
      <vt:variant>
        <vt:i4>5</vt:i4>
      </vt:variant>
      <vt:variant>
        <vt:lpwstr/>
      </vt:variant>
      <vt:variant>
        <vt:lpwstr>_Toc329957691</vt:lpwstr>
      </vt:variant>
      <vt:variant>
        <vt:i4>1179705</vt:i4>
      </vt:variant>
      <vt:variant>
        <vt:i4>68</vt:i4>
      </vt:variant>
      <vt:variant>
        <vt:i4>0</vt:i4>
      </vt:variant>
      <vt:variant>
        <vt:i4>5</vt:i4>
      </vt:variant>
      <vt:variant>
        <vt:lpwstr/>
      </vt:variant>
      <vt:variant>
        <vt:lpwstr>_Toc329957690</vt:lpwstr>
      </vt:variant>
      <vt:variant>
        <vt:i4>1245241</vt:i4>
      </vt:variant>
      <vt:variant>
        <vt:i4>62</vt:i4>
      </vt:variant>
      <vt:variant>
        <vt:i4>0</vt:i4>
      </vt:variant>
      <vt:variant>
        <vt:i4>5</vt:i4>
      </vt:variant>
      <vt:variant>
        <vt:lpwstr/>
      </vt:variant>
      <vt:variant>
        <vt:lpwstr>_Toc329957689</vt:lpwstr>
      </vt:variant>
      <vt:variant>
        <vt:i4>1245241</vt:i4>
      </vt:variant>
      <vt:variant>
        <vt:i4>56</vt:i4>
      </vt:variant>
      <vt:variant>
        <vt:i4>0</vt:i4>
      </vt:variant>
      <vt:variant>
        <vt:i4>5</vt:i4>
      </vt:variant>
      <vt:variant>
        <vt:lpwstr/>
      </vt:variant>
      <vt:variant>
        <vt:lpwstr>_Toc329957688</vt:lpwstr>
      </vt:variant>
      <vt:variant>
        <vt:i4>1245241</vt:i4>
      </vt:variant>
      <vt:variant>
        <vt:i4>50</vt:i4>
      </vt:variant>
      <vt:variant>
        <vt:i4>0</vt:i4>
      </vt:variant>
      <vt:variant>
        <vt:i4>5</vt:i4>
      </vt:variant>
      <vt:variant>
        <vt:lpwstr/>
      </vt:variant>
      <vt:variant>
        <vt:lpwstr>_Toc329957687</vt:lpwstr>
      </vt:variant>
      <vt:variant>
        <vt:i4>1245241</vt:i4>
      </vt:variant>
      <vt:variant>
        <vt:i4>44</vt:i4>
      </vt:variant>
      <vt:variant>
        <vt:i4>0</vt:i4>
      </vt:variant>
      <vt:variant>
        <vt:i4>5</vt:i4>
      </vt:variant>
      <vt:variant>
        <vt:lpwstr/>
      </vt:variant>
      <vt:variant>
        <vt:lpwstr>_Toc329957686</vt:lpwstr>
      </vt:variant>
      <vt:variant>
        <vt:i4>1245241</vt:i4>
      </vt:variant>
      <vt:variant>
        <vt:i4>38</vt:i4>
      </vt:variant>
      <vt:variant>
        <vt:i4>0</vt:i4>
      </vt:variant>
      <vt:variant>
        <vt:i4>5</vt:i4>
      </vt:variant>
      <vt:variant>
        <vt:lpwstr/>
      </vt:variant>
      <vt:variant>
        <vt:lpwstr>_Toc329957685</vt:lpwstr>
      </vt:variant>
      <vt:variant>
        <vt:i4>1245241</vt:i4>
      </vt:variant>
      <vt:variant>
        <vt:i4>32</vt:i4>
      </vt:variant>
      <vt:variant>
        <vt:i4>0</vt:i4>
      </vt:variant>
      <vt:variant>
        <vt:i4>5</vt:i4>
      </vt:variant>
      <vt:variant>
        <vt:lpwstr/>
      </vt:variant>
      <vt:variant>
        <vt:lpwstr>_Toc329957684</vt:lpwstr>
      </vt:variant>
      <vt:variant>
        <vt:i4>1245241</vt:i4>
      </vt:variant>
      <vt:variant>
        <vt:i4>26</vt:i4>
      </vt:variant>
      <vt:variant>
        <vt:i4>0</vt:i4>
      </vt:variant>
      <vt:variant>
        <vt:i4>5</vt:i4>
      </vt:variant>
      <vt:variant>
        <vt:lpwstr/>
      </vt:variant>
      <vt:variant>
        <vt:lpwstr>_Toc329957683</vt:lpwstr>
      </vt:variant>
      <vt:variant>
        <vt:i4>1245241</vt:i4>
      </vt:variant>
      <vt:variant>
        <vt:i4>20</vt:i4>
      </vt:variant>
      <vt:variant>
        <vt:i4>0</vt:i4>
      </vt:variant>
      <vt:variant>
        <vt:i4>5</vt:i4>
      </vt:variant>
      <vt:variant>
        <vt:lpwstr/>
      </vt:variant>
      <vt:variant>
        <vt:lpwstr>_Toc329957682</vt:lpwstr>
      </vt:variant>
      <vt:variant>
        <vt:i4>1245241</vt:i4>
      </vt:variant>
      <vt:variant>
        <vt:i4>14</vt:i4>
      </vt:variant>
      <vt:variant>
        <vt:i4>0</vt:i4>
      </vt:variant>
      <vt:variant>
        <vt:i4>5</vt:i4>
      </vt:variant>
      <vt:variant>
        <vt:lpwstr/>
      </vt:variant>
      <vt:variant>
        <vt:lpwstr>_Toc329957681</vt:lpwstr>
      </vt:variant>
      <vt:variant>
        <vt:i4>1245241</vt:i4>
      </vt:variant>
      <vt:variant>
        <vt:i4>8</vt:i4>
      </vt:variant>
      <vt:variant>
        <vt:i4>0</vt:i4>
      </vt:variant>
      <vt:variant>
        <vt:i4>5</vt:i4>
      </vt:variant>
      <vt:variant>
        <vt:lpwstr/>
      </vt:variant>
      <vt:variant>
        <vt:lpwstr>_Toc329957680</vt:lpwstr>
      </vt:variant>
      <vt:variant>
        <vt:i4>1835065</vt:i4>
      </vt:variant>
      <vt:variant>
        <vt:i4>2</vt:i4>
      </vt:variant>
      <vt:variant>
        <vt:i4>0</vt:i4>
      </vt:variant>
      <vt:variant>
        <vt:i4>5</vt:i4>
      </vt:variant>
      <vt:variant>
        <vt:lpwstr/>
      </vt:variant>
      <vt:variant>
        <vt:lpwstr>_Toc329957679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ZEMKOPĪBAS MINISTRIJA</dc:title>
  <dc:creator>ilona.krastina</dc:creator>
  <cp:lastModifiedBy>Signija Aizpuriete</cp:lastModifiedBy>
  <cp:revision>5</cp:revision>
  <dcterms:created xsi:type="dcterms:W3CDTF">2013-10-03T13:33:00Z</dcterms:created>
  <dcterms:modified xsi:type="dcterms:W3CDTF">2013-10-31T14:46:00Z</dcterms:modified>
</cp:coreProperties>
</file>